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5C" w:rsidRPr="00C97597" w:rsidRDefault="0025505C" w:rsidP="0025505C">
      <w:pPr>
        <w:widowControl/>
        <w:rPr>
          <w:rFonts w:ascii="黑体" w:eastAsia="黑体" w:hAnsi="宋体" w:cs="宋体"/>
          <w:color w:val="000000"/>
          <w:kern w:val="0"/>
          <w:sz w:val="32"/>
          <w:szCs w:val="32"/>
        </w:rPr>
      </w:pPr>
      <w:bookmarkStart w:id="0" w:name="_GoBack"/>
      <w:r w:rsidRPr="00C9759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p w:rsidR="0025505C" w:rsidRPr="00C97597" w:rsidRDefault="0025505C" w:rsidP="0025505C">
      <w:pPr>
        <w:widowControl/>
        <w:jc w:val="center"/>
        <w:rPr>
          <w:rFonts w:ascii="文星标宋" w:eastAsia="文星标宋" w:hAnsi="文星标宋" w:cs="宋体"/>
          <w:color w:val="000000"/>
          <w:kern w:val="0"/>
          <w:sz w:val="40"/>
          <w:szCs w:val="40"/>
        </w:rPr>
      </w:pPr>
      <w:r w:rsidRPr="00C97597">
        <w:rPr>
          <w:rFonts w:ascii="文星标宋" w:eastAsia="文星标宋" w:hAnsi="文星标宋" w:cs="宋体" w:hint="eastAsia"/>
          <w:color w:val="000000"/>
          <w:kern w:val="0"/>
          <w:sz w:val="40"/>
          <w:szCs w:val="40"/>
        </w:rPr>
        <w:t>纳入《清单》的行政审批中介服务收费项目目录</w:t>
      </w:r>
    </w:p>
    <w:bookmarkEnd w:id="0"/>
    <w:p w:rsidR="0025505C" w:rsidRPr="0025505C" w:rsidRDefault="0025505C"/>
    <w:tbl>
      <w:tblPr>
        <w:tblW w:w="13211" w:type="dxa"/>
        <w:jc w:val="center"/>
        <w:tblLook w:val="0000" w:firstRow="0" w:lastRow="0" w:firstColumn="0" w:lastColumn="0" w:noHBand="0" w:noVBand="0"/>
      </w:tblPr>
      <w:tblGrid>
        <w:gridCol w:w="981"/>
        <w:gridCol w:w="1522"/>
        <w:gridCol w:w="1289"/>
        <w:gridCol w:w="4720"/>
        <w:gridCol w:w="1665"/>
        <w:gridCol w:w="1260"/>
        <w:gridCol w:w="1774"/>
      </w:tblGrid>
      <w:tr w:rsidR="0025505C" w:rsidRPr="00C97597" w:rsidTr="0025505C">
        <w:trPr>
          <w:trHeight w:val="855"/>
          <w:tblHeader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行政审批事项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中介服务</w:t>
            </w: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br/>
              <w:t>收费项目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中介服务收费项目设定依据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中介服务收费项目实施机构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中介服务项目收费依据及标准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中介服务收费项目办理时限</w:t>
            </w:r>
          </w:p>
        </w:tc>
      </w:tr>
      <w:tr w:rsidR="0025505C" w:rsidRPr="00C97597" w:rsidTr="0025505C">
        <w:trPr>
          <w:trHeight w:val="414"/>
          <w:jc w:val="center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一、市民政局</w:t>
            </w:r>
          </w:p>
        </w:tc>
      </w:tr>
      <w:tr w:rsidR="0025505C" w:rsidRPr="00C97597" w:rsidTr="0025505C">
        <w:trPr>
          <w:trHeight w:val="20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社会团体成立登记、变更登记、注销登记和章程核准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(1)验资报告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1.《社会团体登记管理条例》（国务院令第250号）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2.《山东省实施&lt;社会团体登记管理条例&gt;办法》（省政府令第148号）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会计师事务所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20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民办非企业单位成立登记、变更登记、注销登记和章程核准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(2)验资报告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1.《民办非企业单位登记管理暂行条例》（国务院令第251号）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2.《民办非企业单位登记暂行办法》（民政部令第18号）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会计师事务所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20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市属非</w:t>
            </w:r>
            <w:proofErr w:type="gramEnd"/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公募基金会分支、代表机构成立、变更、注销登记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(3)验资报告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《基金会管理条例》（国务院令第400号）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会计师事务所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3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420"/>
          <w:jc w:val="center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二、市交通运输局</w:t>
            </w:r>
          </w:p>
        </w:tc>
      </w:tr>
      <w:tr w:rsidR="0025505C" w:rsidRPr="00C97597" w:rsidTr="0025505C">
        <w:trPr>
          <w:trHeight w:val="20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在公路用地范围内设置</w:t>
            </w:r>
            <w:proofErr w:type="gramStart"/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非公路</w:t>
            </w:r>
            <w:proofErr w:type="gramEnd"/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标志审批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(4)保障公路、公路附属设施质量和安全的技术评价报告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1.《山东省公路路政条例》（2013年8月通过）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2.《关于设置非公路标志技术评价报告有关问题的复函</w:t>
            </w:r>
            <w:r w:rsidRPr="0012246E">
              <w:rPr>
                <w:rFonts w:ascii="方正宋三简体" w:eastAsia="方正宋三简体" w:hAnsi="宋体" w:cs="宋体" w:hint="eastAsia"/>
                <w:color w:val="000000"/>
                <w:kern w:val="0"/>
                <w:sz w:val="20"/>
                <w:szCs w:val="20"/>
              </w:rPr>
              <w:t>》（鲁路路一函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[2015]18号）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本项目设计单位以外具有公路专业工程咨询资质的单位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375"/>
          <w:jc w:val="center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C97597" w:rsidRDefault="0025505C" w:rsidP="00D65971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C97597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三、市人防办</w:t>
            </w:r>
          </w:p>
        </w:tc>
      </w:tr>
      <w:tr w:rsidR="0025505C" w:rsidRPr="00C97597" w:rsidTr="0025505C">
        <w:trPr>
          <w:trHeight w:val="1470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结合民用建筑修建防空地下室审批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(5)编制防空地下室设计文件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1.《山东省实施〈人民防空法〉办法》（1998年10月通过）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2.《人民防空工程建设管理规定》（2003年2月〔2003〕国人防办字第18号）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3. 《建设工程质量管理条例》（2000年1月国务院令第279号）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具有相应资质等级的人防工程设计单位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1470"/>
          <w:jc w:val="center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单建人防工程建设许可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(6)编制初步设计文件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1.《山东省实施〈人民防空法〉办法》（1998年10月通过）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2.《人民防空工程建设管理规定》（2003年2月〔2003〕国人防办字第18号）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具有相应资质等级的勘察设计单位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  <w:tr w:rsidR="0025505C" w:rsidRPr="00C97597" w:rsidTr="0025505C">
        <w:trPr>
          <w:trHeight w:val="1470"/>
          <w:jc w:val="center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lef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(7)编制施工图设计文件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1.《山东省实施〈人民防空法〉办法》（1998年10月通过）</w:t>
            </w: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br/>
              <w:t>2.《人民防空工程建设管理规定》（2003年2月〔2003〕国人防办字第18号）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具有相应资质等级的勘察设计单位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市场调节价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5C" w:rsidRPr="0012246E" w:rsidRDefault="0025505C" w:rsidP="00D65971">
            <w:pPr>
              <w:widowControl/>
              <w:spacing w:line="24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12246E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双方协商约定</w:t>
            </w:r>
          </w:p>
        </w:tc>
      </w:tr>
    </w:tbl>
    <w:p w:rsidR="0082108B" w:rsidRDefault="0082108B"/>
    <w:sectPr w:rsidR="0082108B" w:rsidSect="0025505C">
      <w:pgSz w:w="16838" w:h="11906" w:orient="landscape"/>
      <w:pgMar w:top="1247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宋三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5C"/>
    <w:rsid w:val="0025505C"/>
    <w:rsid w:val="008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cx</cp:lastModifiedBy>
  <cp:revision>1</cp:revision>
  <dcterms:created xsi:type="dcterms:W3CDTF">2016-05-26T02:38:00Z</dcterms:created>
  <dcterms:modified xsi:type="dcterms:W3CDTF">2016-05-26T02:43:00Z</dcterms:modified>
</cp:coreProperties>
</file>