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Times New Roman"/>
          <w:sz w:val="32"/>
          <w:szCs w:val="32"/>
        </w:rPr>
      </w:pPr>
      <w:r>
        <w:rPr>
          <w:rFonts w:hint="eastAsia" w:ascii="黑体" w:hAnsi="黑体" w:eastAsia="黑体" w:cs="黑体"/>
          <w:sz w:val="32"/>
          <w:szCs w:val="32"/>
        </w:rPr>
        <w:t>附件</w:t>
      </w:r>
      <w:bookmarkStart w:id="0" w:name="_GoBack"/>
      <w:bookmarkEnd w:id="0"/>
    </w:p>
    <w:p>
      <w:pPr>
        <w:spacing w:afterLines="50" w:line="56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2023</w:t>
      </w:r>
      <w:r>
        <w:rPr>
          <w:rFonts w:hint="eastAsia" w:ascii="方正小标宋简体" w:eastAsia="方正小标宋简体" w:cs="方正小标宋简体"/>
          <w:sz w:val="44"/>
          <w:szCs w:val="44"/>
        </w:rPr>
        <w:t>年济南市市中区政务公开重点工作任务分解表</w:t>
      </w:r>
    </w:p>
    <w:tbl>
      <w:tblPr>
        <w:tblStyle w:val="5"/>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475"/>
        <w:gridCol w:w="1638"/>
        <w:gridCol w:w="5675"/>
        <w:gridCol w:w="239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768" w:type="dxa"/>
            <w:tcBorders>
              <w:top w:val="single" w:color="auto" w:sz="8" w:space="0"/>
            </w:tcBorders>
            <w:vAlign w:val="center"/>
          </w:tcPr>
          <w:p>
            <w:pPr>
              <w:adjustRightInd w:val="0"/>
              <w:snapToGrid w:val="0"/>
              <w:jc w:val="center"/>
              <w:rPr>
                <w:rFonts w:ascii="黑体" w:hAnsi="黑体" w:eastAsia="黑体" w:cs="Times New Roman"/>
                <w:sz w:val="28"/>
                <w:szCs w:val="28"/>
              </w:rPr>
            </w:pPr>
            <w:r>
              <w:rPr>
                <w:rFonts w:hint="eastAsia" w:ascii="黑体" w:hAnsi="黑体" w:eastAsia="黑体" w:cs="黑体"/>
                <w:sz w:val="28"/>
                <w:szCs w:val="28"/>
              </w:rPr>
              <w:t>序号</w:t>
            </w:r>
          </w:p>
        </w:tc>
        <w:tc>
          <w:tcPr>
            <w:tcW w:w="3113" w:type="dxa"/>
            <w:gridSpan w:val="2"/>
            <w:tcBorders>
              <w:top w:val="single" w:color="auto" w:sz="8" w:space="0"/>
            </w:tcBorders>
            <w:vAlign w:val="center"/>
          </w:tcPr>
          <w:p>
            <w:pPr>
              <w:adjustRightInd w:val="0"/>
              <w:snapToGrid w:val="0"/>
              <w:jc w:val="center"/>
              <w:rPr>
                <w:rFonts w:ascii="黑体" w:hAnsi="黑体" w:eastAsia="黑体" w:cs="Times New Roman"/>
                <w:sz w:val="28"/>
                <w:szCs w:val="28"/>
              </w:rPr>
            </w:pPr>
            <w:r>
              <w:rPr>
                <w:rFonts w:hint="eastAsia" w:ascii="黑体" w:hAnsi="黑体" w:eastAsia="黑体" w:cs="黑体"/>
                <w:sz w:val="28"/>
                <w:szCs w:val="28"/>
              </w:rPr>
              <w:t>工作任务</w:t>
            </w:r>
          </w:p>
        </w:tc>
        <w:tc>
          <w:tcPr>
            <w:tcW w:w="5675" w:type="dxa"/>
            <w:tcBorders>
              <w:top w:val="single" w:color="auto" w:sz="8" w:space="0"/>
            </w:tcBorders>
            <w:vAlign w:val="center"/>
          </w:tcPr>
          <w:p>
            <w:pPr>
              <w:adjustRightInd w:val="0"/>
              <w:snapToGrid w:val="0"/>
              <w:jc w:val="center"/>
              <w:rPr>
                <w:rFonts w:ascii="黑体" w:hAnsi="黑体" w:eastAsia="黑体" w:cs="Times New Roman"/>
                <w:sz w:val="28"/>
                <w:szCs w:val="28"/>
              </w:rPr>
            </w:pPr>
            <w:r>
              <w:rPr>
                <w:rFonts w:hint="eastAsia" w:ascii="黑体" w:hAnsi="黑体" w:eastAsia="黑体" w:cs="黑体"/>
                <w:sz w:val="28"/>
                <w:szCs w:val="28"/>
              </w:rPr>
              <w:t>具体要求</w:t>
            </w:r>
          </w:p>
        </w:tc>
        <w:tc>
          <w:tcPr>
            <w:tcW w:w="2390" w:type="dxa"/>
            <w:tcBorders>
              <w:top w:val="single" w:color="auto" w:sz="8" w:space="0"/>
            </w:tcBorders>
            <w:vAlign w:val="center"/>
          </w:tcPr>
          <w:p>
            <w:pPr>
              <w:adjustRightInd w:val="0"/>
              <w:snapToGrid w:val="0"/>
              <w:jc w:val="center"/>
              <w:rPr>
                <w:rFonts w:ascii="黑体" w:hAnsi="黑体" w:eastAsia="黑体" w:cs="Times New Roman"/>
                <w:sz w:val="28"/>
                <w:szCs w:val="28"/>
              </w:rPr>
            </w:pPr>
            <w:r>
              <w:rPr>
                <w:rFonts w:hint="eastAsia" w:ascii="黑体" w:hAnsi="黑体" w:eastAsia="黑体" w:cs="黑体"/>
                <w:sz w:val="28"/>
                <w:szCs w:val="28"/>
              </w:rPr>
              <w:t>责任单位</w:t>
            </w:r>
          </w:p>
        </w:tc>
        <w:tc>
          <w:tcPr>
            <w:tcW w:w="1379" w:type="dxa"/>
            <w:tcBorders>
              <w:top w:val="single" w:color="auto" w:sz="8" w:space="0"/>
            </w:tcBorders>
            <w:vAlign w:val="center"/>
          </w:tcPr>
          <w:p>
            <w:pPr>
              <w:adjustRightInd w:val="0"/>
              <w:snapToGrid w:val="0"/>
              <w:jc w:val="center"/>
              <w:rPr>
                <w:rFonts w:ascii="黑体" w:hAnsi="黑体" w:eastAsia="黑体" w:cs="Times New Roman"/>
                <w:sz w:val="28"/>
                <w:szCs w:val="28"/>
              </w:rPr>
            </w:pPr>
            <w:r>
              <w:rPr>
                <w:rFonts w:hint="eastAsia" w:ascii="黑体" w:hAnsi="黑体" w:eastAsia="黑体" w:cs="黑体"/>
                <w:sz w:val="28"/>
                <w:szCs w:val="28"/>
              </w:rPr>
              <w:t>完成时限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768" w:type="dxa"/>
            <w:vAlign w:val="center"/>
          </w:tcPr>
          <w:p>
            <w:pPr>
              <w:widowControl/>
              <w:jc w:val="center"/>
              <w:rPr>
                <w:rFonts w:ascii="楷体_GB2312" w:eastAsia="楷体_GB2312" w:cs="楷体_GB2312"/>
                <w:kern w:val="0"/>
                <w:sz w:val="24"/>
                <w:szCs w:val="24"/>
              </w:rPr>
            </w:pPr>
            <w:r>
              <w:rPr>
                <w:rFonts w:ascii="楷体_GB2312" w:eastAsia="楷体_GB2312" w:cs="楷体_GB2312"/>
                <w:kern w:val="0"/>
                <w:sz w:val="24"/>
                <w:szCs w:val="24"/>
              </w:rPr>
              <w:t>1</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围绕重点领域做好政务公开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以推动经济高质量发展为导向做好信息公开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pacing w:val="4"/>
                <w:sz w:val="24"/>
                <w:szCs w:val="24"/>
              </w:rPr>
              <w:t>锚定建设新时代社会主义现代化活力品质强区的总体目标，扎实推进济南中央活力区、济南中央商埠区、山东能源互联网产业集聚区“三区”建设等重点工作的</w:t>
            </w:r>
            <w:r>
              <w:rPr>
                <w:rFonts w:hint="eastAsia" w:ascii="仿宋_GB2312" w:hAnsi="仿宋_GB2312" w:eastAsia="仿宋_GB2312" w:cs="仿宋_GB2312"/>
                <w:sz w:val="24"/>
                <w:szCs w:val="24"/>
              </w:rPr>
              <w:t>信息公开和政策解读，积极</w:t>
            </w:r>
            <w:r>
              <w:rPr>
                <w:rFonts w:hint="eastAsia" w:ascii="仿宋_GB2312" w:hAnsi="仿宋_GB2312" w:eastAsia="仿宋_GB2312" w:cs="仿宋_GB2312"/>
                <w:spacing w:val="4"/>
                <w:sz w:val="24"/>
                <w:szCs w:val="24"/>
              </w:rPr>
              <w:t>公开相关工作进展、项目实施等信息。</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adjustRightInd w:val="0"/>
              <w:snapToGrid w:val="0"/>
              <w:jc w:val="center"/>
              <w:rPr>
                <w:rFonts w:ascii="仿宋_GB2312" w:hAnsi="Times New Roman" w:cs="Times New Roman"/>
                <w:sz w:val="28"/>
                <w:szCs w:val="28"/>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68" w:type="dxa"/>
            <w:vAlign w:val="center"/>
          </w:tcPr>
          <w:p>
            <w:pPr>
              <w:widowControl/>
              <w:jc w:val="center"/>
              <w:rPr>
                <w:rFonts w:ascii="楷体_GB2312" w:eastAsia="楷体_GB2312" w:cs="楷体_GB2312"/>
                <w:kern w:val="0"/>
                <w:sz w:val="24"/>
                <w:szCs w:val="24"/>
              </w:rPr>
            </w:pPr>
            <w:r>
              <w:rPr>
                <w:rFonts w:ascii="楷体_GB2312" w:eastAsia="楷体_GB2312" w:cs="楷体_GB2312"/>
                <w:kern w:val="0"/>
                <w:sz w:val="24"/>
                <w:szCs w:val="24"/>
              </w:rPr>
              <w:t>2</w:t>
            </w:r>
          </w:p>
        </w:tc>
        <w:tc>
          <w:tcPr>
            <w:tcW w:w="1475" w:type="dxa"/>
            <w:vMerge w:val="continue"/>
            <w:vAlign w:val="center"/>
          </w:tcPr>
          <w:p>
            <w:pPr>
              <w:widowControl/>
              <w:jc w:val="left"/>
              <w:rPr>
                <w:rFonts w:ascii="仿宋_GB2312" w:hAnsi="仿宋_GB2312" w:eastAsia="仿宋_GB2312" w:cs="Times New Roman"/>
                <w:kern w:val="0"/>
                <w:sz w:val="24"/>
                <w:szCs w:val="24"/>
              </w:rPr>
            </w:pPr>
          </w:p>
        </w:tc>
        <w:tc>
          <w:tcPr>
            <w:tcW w:w="1638" w:type="dxa"/>
            <w:vMerge w:val="continue"/>
            <w:vAlign w:val="center"/>
          </w:tcPr>
          <w:p>
            <w:pPr>
              <w:widowControl/>
              <w:jc w:val="left"/>
              <w:rPr>
                <w:rFonts w:ascii="仿宋_GB2312" w:hAnsi="仿宋_GB2312" w:eastAsia="仿宋_GB2312" w:cs="Times New Roman"/>
                <w:kern w:val="0"/>
                <w:sz w:val="24"/>
                <w:szCs w:val="24"/>
              </w:rPr>
            </w:pPr>
          </w:p>
        </w:tc>
        <w:tc>
          <w:tcPr>
            <w:tcW w:w="5675" w:type="dxa"/>
            <w:vAlign w:val="center"/>
          </w:tcPr>
          <w:p>
            <w:pPr>
              <w:widowControl/>
              <w:jc w:val="left"/>
              <w:rPr>
                <w:rFonts w:ascii="仿宋_GB2312" w:hAnsi="仿宋_GB2312" w:eastAsia="仿宋_GB2312" w:cs="Times New Roman"/>
                <w:kern w:val="0"/>
                <w:sz w:val="24"/>
                <w:szCs w:val="24"/>
              </w:rPr>
            </w:pPr>
            <w:r>
              <w:rPr>
                <w:rFonts w:hint="eastAsia" w:ascii="仿宋_GB2312" w:hAnsi="仿宋_GB2312" w:eastAsia="仿宋_GB2312" w:cs="仿宋_GB2312"/>
                <w:spacing w:val="4"/>
                <w:sz w:val="24"/>
                <w:szCs w:val="24"/>
              </w:rPr>
              <w:t>立足</w:t>
            </w:r>
            <w:r>
              <w:rPr>
                <w:rFonts w:hint="eastAsia" w:ascii="仿宋_GB2312" w:hAnsi="仿宋_GB2312" w:eastAsia="仿宋_GB2312" w:cs="仿宋_GB2312"/>
                <w:sz w:val="24"/>
                <w:szCs w:val="24"/>
              </w:rPr>
              <w:t>巩固提升现代金融、转型升级都市工业、全面拓展数字经济</w:t>
            </w:r>
            <w:r>
              <w:rPr>
                <w:rFonts w:hint="eastAsia" w:ascii="仿宋_GB2312" w:hAnsi="仿宋_GB2312" w:eastAsia="仿宋_GB2312" w:cs="仿宋_GB2312"/>
                <w:spacing w:val="4"/>
                <w:sz w:val="24"/>
                <w:szCs w:val="24"/>
              </w:rPr>
              <w:t>、集聚发展能源互联、充</w:t>
            </w:r>
            <w:r>
              <w:rPr>
                <w:rFonts w:hint="eastAsia" w:ascii="仿宋_GB2312" w:hAnsi="仿宋_GB2312" w:eastAsia="仿宋_GB2312" w:cs="仿宋_GB2312"/>
                <w:sz w:val="24"/>
                <w:szCs w:val="24"/>
              </w:rPr>
              <w:t>分激活高端服务等五大方面，及时发布相关产业规划、政策制度、工作动态、创新成果等信息。</w:t>
            </w:r>
          </w:p>
        </w:tc>
        <w:tc>
          <w:tcPr>
            <w:tcW w:w="2390" w:type="dxa"/>
            <w:vMerge w:val="continue"/>
            <w:vAlign w:val="center"/>
          </w:tcPr>
          <w:p>
            <w:pPr>
              <w:widowControl/>
              <w:jc w:val="left"/>
              <w:rPr>
                <w:rFonts w:ascii="仿宋_GB2312" w:hAnsi="仿宋_GB2312" w:eastAsia="仿宋_GB2312" w:cs="Times New Roman"/>
                <w:kern w:val="0"/>
                <w:sz w:val="24"/>
                <w:szCs w:val="24"/>
              </w:rPr>
            </w:pP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8" w:type="dxa"/>
            <w:vAlign w:val="center"/>
          </w:tcPr>
          <w:p>
            <w:pPr>
              <w:widowControl/>
              <w:jc w:val="center"/>
              <w:rPr>
                <w:rFonts w:ascii="楷体_GB2312" w:eastAsia="楷体_GB2312" w:cs="楷体_GB2312"/>
                <w:kern w:val="0"/>
                <w:sz w:val="24"/>
                <w:szCs w:val="24"/>
              </w:rPr>
            </w:pPr>
            <w:r>
              <w:rPr>
                <w:rFonts w:ascii="楷体_GB2312" w:eastAsia="楷体_GB2312" w:cs="楷体_GB2312"/>
                <w:kern w:val="0"/>
                <w:sz w:val="24"/>
                <w:szCs w:val="24"/>
              </w:rPr>
              <w:t>3</w:t>
            </w:r>
          </w:p>
        </w:tc>
        <w:tc>
          <w:tcPr>
            <w:tcW w:w="1475" w:type="dxa"/>
            <w:vMerge w:val="continue"/>
            <w:vAlign w:val="center"/>
          </w:tcPr>
          <w:p>
            <w:pPr>
              <w:widowControl/>
              <w:jc w:val="left"/>
              <w:rPr>
                <w:rFonts w:ascii="仿宋_GB2312" w:hAnsi="仿宋_GB2312" w:eastAsia="仿宋_GB2312" w:cs="Times New Roman"/>
                <w:kern w:val="0"/>
                <w:sz w:val="24"/>
                <w:szCs w:val="24"/>
              </w:rPr>
            </w:pPr>
          </w:p>
        </w:tc>
        <w:tc>
          <w:tcPr>
            <w:tcW w:w="1638" w:type="dxa"/>
            <w:vMerge w:val="continue"/>
            <w:vAlign w:val="center"/>
          </w:tcPr>
          <w:p>
            <w:pPr>
              <w:widowControl/>
              <w:jc w:val="left"/>
              <w:rPr>
                <w:rFonts w:ascii="仿宋_GB2312" w:hAnsi="仿宋_GB2312" w:eastAsia="仿宋_GB2312" w:cs="Times New Roman"/>
                <w:kern w:val="0"/>
                <w:sz w:val="24"/>
                <w:szCs w:val="24"/>
              </w:rPr>
            </w:pPr>
          </w:p>
        </w:tc>
        <w:tc>
          <w:tcPr>
            <w:tcW w:w="5675" w:type="dxa"/>
            <w:vAlign w:val="center"/>
          </w:tcPr>
          <w:p>
            <w:pPr>
              <w:widowControl/>
              <w:jc w:val="left"/>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围绕创新市中建设，着力推动科技成果高效转化、管理机制创新、人才引育等相关信息公开，加大各类引才活动的宣传力度。</w:t>
            </w:r>
          </w:p>
        </w:tc>
        <w:tc>
          <w:tcPr>
            <w:tcW w:w="2390" w:type="dxa"/>
            <w:vMerge w:val="continue"/>
            <w:vAlign w:val="center"/>
          </w:tcPr>
          <w:p>
            <w:pPr>
              <w:widowControl/>
              <w:jc w:val="left"/>
              <w:rPr>
                <w:rFonts w:ascii="仿宋_GB2312" w:hAnsi="仿宋_GB2312" w:eastAsia="仿宋_GB2312" w:cs="Times New Roman"/>
                <w:kern w:val="0"/>
                <w:sz w:val="24"/>
                <w:szCs w:val="24"/>
              </w:rPr>
            </w:pP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68" w:type="dxa"/>
            <w:vAlign w:val="center"/>
          </w:tcPr>
          <w:p>
            <w:pPr>
              <w:widowControl/>
              <w:jc w:val="center"/>
              <w:rPr>
                <w:rFonts w:ascii="楷体_GB2312" w:eastAsia="楷体_GB2312" w:cs="楷体_GB2312"/>
                <w:kern w:val="0"/>
                <w:sz w:val="24"/>
                <w:szCs w:val="24"/>
              </w:rPr>
            </w:pPr>
            <w:r>
              <w:rPr>
                <w:rFonts w:ascii="楷体_GB2312" w:eastAsia="楷体_GB2312" w:cs="楷体_GB2312"/>
                <w:kern w:val="0"/>
                <w:sz w:val="24"/>
                <w:szCs w:val="24"/>
              </w:rPr>
              <w:t>4</w:t>
            </w:r>
          </w:p>
        </w:tc>
        <w:tc>
          <w:tcPr>
            <w:tcW w:w="1475" w:type="dxa"/>
            <w:vMerge w:val="continue"/>
            <w:vAlign w:val="center"/>
          </w:tcPr>
          <w:p>
            <w:pPr>
              <w:widowControl/>
              <w:rPr>
                <w:rFonts w:ascii="仿宋_GB2312" w:hAnsi="仿宋_GB2312" w:eastAsia="仿宋_GB2312" w:cs="Times New Roman"/>
                <w:kern w:val="0"/>
                <w:sz w:val="24"/>
                <w:szCs w:val="24"/>
              </w:rPr>
            </w:pPr>
          </w:p>
        </w:tc>
        <w:tc>
          <w:tcPr>
            <w:tcW w:w="1638" w:type="dxa"/>
            <w:vMerge w:val="continue"/>
            <w:vAlign w:val="center"/>
          </w:tcPr>
          <w:p>
            <w:pPr>
              <w:widowControl/>
              <w:rPr>
                <w:rFonts w:ascii="仿宋_GB2312" w:hAnsi="仿宋_GB2312" w:eastAsia="仿宋_GB2312" w:cs="Times New Roman"/>
                <w:kern w:val="0"/>
                <w:sz w:val="24"/>
                <w:szCs w:val="24"/>
              </w:rPr>
            </w:pP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聚焦宜居市中建设，实时发布城市更新行动和乡村建设行动的工作动态及政策信息，做好相关政策措施的解读工作，为统筹推进城乡融合营造良好环境。</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5</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围绕重点领域做好政务公开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以激发市场主体活力为导向做好信息公开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按要求公开国有企业创新驱动高质量发展“十条政策”落实情况和取得成效。</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区财政局</w:t>
            </w:r>
          </w:p>
        </w:tc>
        <w:tc>
          <w:tcPr>
            <w:tcW w:w="1379" w:type="dxa"/>
            <w:vMerge w:val="restart"/>
            <w:vAlign w:val="center"/>
          </w:tcPr>
          <w:p>
            <w:pPr>
              <w:adjustRightInd w:val="0"/>
              <w:snapToGrid w:val="0"/>
              <w:jc w:val="center"/>
              <w:rPr>
                <w:rFonts w:ascii="仿宋_GB2312" w:hAnsi="Times New Roman" w:cs="Times New Roman"/>
                <w:sz w:val="28"/>
                <w:szCs w:val="28"/>
              </w:rPr>
            </w:pPr>
            <w:r>
              <w:rPr>
                <w:rFonts w:ascii="仿宋_GB2312" w:hAnsi="仿宋_GB2312" w:eastAsia="仿宋_GB2312" w:cs="仿宋_GB2312"/>
                <w:sz w:val="24"/>
                <w:szCs w:val="24"/>
              </w:rPr>
              <w:t>12</w:t>
            </w:r>
            <w:r>
              <w:rPr>
                <w:rFonts w:hint="eastAsia" w:ascii="仿宋_GB2312" w:hAnsi="仿宋_GB2312" w:eastAsia="仿宋_GB2312" w:cs="仿宋_GB2312"/>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6</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sz w:val="24"/>
                <w:szCs w:val="24"/>
              </w:rPr>
            </w:pPr>
            <w:r>
              <w:rPr>
                <w:rFonts w:hint="eastAsia" w:ascii="仿宋_GB2312" w:hAnsi="仿宋_GB2312" w:eastAsia="仿宋_GB2312" w:cs="仿宋_GB2312"/>
                <w:spacing w:val="4"/>
                <w:sz w:val="24"/>
                <w:szCs w:val="24"/>
              </w:rPr>
              <w:t>坚持“企业需求”导向，深入开展“</w:t>
            </w:r>
            <w:r>
              <w:rPr>
                <w:rFonts w:hint="eastAsia" w:ascii="仿宋_GB2312" w:hAnsi="仿宋_GB2312" w:eastAsia="仿宋_GB2312" w:cs="仿宋_GB2312"/>
                <w:sz w:val="24"/>
                <w:szCs w:val="24"/>
              </w:rPr>
              <w:t>暖企、助企、兴企”行动，强化政策集成供给，加强惠企系列政策包的权威发布和解读。优化企业用户空间，实现“一企一档”，确保惠企政策集成直达、“免申即享”。</w:t>
            </w:r>
          </w:p>
        </w:tc>
        <w:tc>
          <w:tcPr>
            <w:tcW w:w="2390" w:type="dxa"/>
            <w:vAlign w:val="center"/>
          </w:tcPr>
          <w:p>
            <w:pPr>
              <w:widowControl/>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各街道办事处</w:t>
            </w:r>
          </w:p>
          <w:p>
            <w:pPr>
              <w:widowControl/>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区政府各部门</w:t>
            </w: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7</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持续推进“双随机、一公开”、互联网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监管、跨部门综合监管和信用监管，积极探索符合新经济、新业态特点的监管模式。</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8</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加</w:t>
            </w:r>
            <w:r>
              <w:rPr>
                <w:rFonts w:hint="eastAsia" w:ascii="仿宋_GB2312" w:hAnsi="仿宋_GB2312" w:eastAsia="仿宋_GB2312" w:cs="仿宋_GB2312"/>
                <w:spacing w:val="4"/>
              </w:rPr>
              <w:t>大国家和省、市、区各级减税降费政策的宣传落</w:t>
            </w:r>
            <w:r>
              <w:rPr>
                <w:rFonts w:hint="eastAsia" w:ascii="仿宋_GB2312" w:hAnsi="仿宋_GB2312" w:eastAsia="仿宋_GB2312" w:cs="仿宋_GB2312"/>
                <w:spacing w:val="-6"/>
              </w:rPr>
              <w:t>实</w:t>
            </w:r>
            <w:r>
              <w:rPr>
                <w:rFonts w:hint="eastAsia" w:ascii="仿宋_GB2312" w:hAnsi="仿宋_GB2312" w:eastAsia="仿宋_GB2312" w:cs="仿宋_GB2312"/>
                <w:spacing w:val="-6"/>
                <w:kern w:val="2"/>
              </w:rPr>
              <w:t>，采取纾困贷等手段，更大力度为市场主体纾困解难。</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区财政局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区税务局</w:t>
            </w:r>
          </w:p>
        </w:tc>
        <w:tc>
          <w:tcPr>
            <w:tcW w:w="1379" w:type="dxa"/>
            <w:vMerge w:val="continue"/>
            <w:vAlign w:val="center"/>
          </w:tcPr>
          <w:p>
            <w:pPr>
              <w:adjustRightInd w:val="0"/>
              <w:snapToGrid w:val="0"/>
              <w:jc w:val="center"/>
              <w:rPr>
                <w:rFonts w:ascii="仿宋_GB2312" w:hAnsi="Times New Roman"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9</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restart"/>
            <w:vAlign w:val="center"/>
          </w:tcPr>
          <w:p>
            <w:pPr>
              <w:widowControl/>
              <w:jc w:val="center"/>
              <w:rPr>
                <w:rFonts w:ascii="楷体_GB2312" w:hAnsi="仿宋_GB2312" w:eastAsia="楷体_GB2312" w:cs="Times New Roman"/>
                <w:sz w:val="24"/>
                <w:szCs w:val="24"/>
              </w:rPr>
            </w:pPr>
            <w:r>
              <w:rPr>
                <w:rFonts w:hint="eastAsia" w:ascii="楷体_GB2312" w:hAnsi="仿宋_GB2312" w:eastAsia="楷体_GB2312" w:cs="楷体_GB2312"/>
                <w:sz w:val="24"/>
                <w:szCs w:val="24"/>
              </w:rPr>
              <w:t>以强化民生保障为导向做好信息</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z w:val="24"/>
                <w:szCs w:val="24"/>
              </w:rPr>
              <w:t>公开</w:t>
            </w:r>
          </w:p>
        </w:tc>
        <w:tc>
          <w:tcPr>
            <w:tcW w:w="5675" w:type="dxa"/>
            <w:vAlign w:val="center"/>
          </w:tcPr>
          <w:p>
            <w:pPr>
              <w:widowControl/>
              <w:spacing w:line="280" w:lineRule="exact"/>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对就业困难人员、高校毕业生、脱贫劳动力、失业人员、退役军人等重点群体，持续公开职业技能培训、城乡公益性岗位、就业创业补贴、灵活就业支持政策等信息，加强对人才引育系列活动的宣传解读力度。</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spacing w:val="-17"/>
                <w:kern w:val="0"/>
                <w:sz w:val="24"/>
                <w:szCs w:val="24"/>
              </w:rPr>
            </w:pPr>
            <w:r>
              <w:rPr>
                <w:rFonts w:hint="eastAsia" w:ascii="仿宋_GB2312" w:hAnsi="仿宋_GB2312" w:eastAsia="仿宋_GB2312" w:cs="仿宋_GB2312"/>
                <w:spacing w:val="-17"/>
                <w:kern w:val="0"/>
                <w:sz w:val="24"/>
                <w:szCs w:val="24"/>
              </w:rPr>
              <w:t>区人力资源社会保障局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区退役军人局</w:t>
            </w: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10</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widowControl/>
              <w:spacing w:line="280" w:lineRule="exact"/>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围绕义务教育“双减”行动，加大对适龄儿童入学政策等信息的公开发布和宣传解读力度，高质量打好“双减”攻坚落实战。建立健全长效监管机制，做好对校外培训机构的监管工作，严格落实收费公示和公开承诺制度，推动办学资质等信息集中公开。</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区教育体育局</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11</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多渠道公开</w:t>
            </w:r>
            <w:r>
              <w:rPr>
                <w:rFonts w:ascii="仿宋_GB2312" w:hAnsi="仿宋_GB2312" w:eastAsia="仿宋_GB2312" w:cs="仿宋_GB2312"/>
                <w:sz w:val="24"/>
                <w:szCs w:val="24"/>
              </w:rPr>
              <w:t>9</w:t>
            </w:r>
            <w:r>
              <w:rPr>
                <w:rFonts w:hint="eastAsia" w:ascii="仿宋_GB2312" w:hAnsi="仿宋_GB2312" w:eastAsia="仿宋_GB2312" w:cs="仿宋_GB2312"/>
                <w:sz w:val="24"/>
                <w:szCs w:val="24"/>
              </w:rPr>
              <w:t>类困难群众救助标准，统筹做好基本生</w:t>
            </w:r>
            <w:r>
              <w:rPr>
                <w:rFonts w:hint="eastAsia" w:ascii="仿宋_GB2312" w:hAnsi="仿宋_GB2312" w:eastAsia="仿宋_GB2312" w:cs="仿宋_GB2312"/>
                <w:spacing w:val="-6"/>
                <w:sz w:val="24"/>
                <w:szCs w:val="24"/>
              </w:rPr>
              <w:t>活救助、专项社会救助、急难社会救助等信息公开工作。</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区民政局</w:t>
            </w: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12</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围绕重点领域做好政务公开</w:t>
            </w:r>
          </w:p>
        </w:tc>
        <w:tc>
          <w:tcPr>
            <w:tcW w:w="1638" w:type="dxa"/>
            <w:vMerge w:val="restart"/>
            <w:vAlign w:val="center"/>
          </w:tcPr>
          <w:p>
            <w:pPr>
              <w:widowControl/>
              <w:jc w:val="center"/>
              <w:rPr>
                <w:rFonts w:ascii="楷体_GB2312" w:hAnsi="仿宋_GB2312" w:eastAsia="楷体_GB2312" w:cs="Times New Roman"/>
                <w:sz w:val="24"/>
                <w:szCs w:val="24"/>
              </w:rPr>
            </w:pPr>
            <w:r>
              <w:rPr>
                <w:rFonts w:hint="eastAsia" w:ascii="楷体_GB2312" w:hAnsi="仿宋_GB2312" w:eastAsia="楷体_GB2312" w:cs="楷体_GB2312"/>
                <w:sz w:val="24"/>
                <w:szCs w:val="24"/>
              </w:rPr>
              <w:t>以强化民生保障为导向做好信息</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z w:val="24"/>
                <w:szCs w:val="24"/>
              </w:rPr>
              <w:t>公开</w:t>
            </w:r>
          </w:p>
        </w:tc>
        <w:tc>
          <w:tcPr>
            <w:tcW w:w="5675" w:type="dxa"/>
            <w:vAlign w:val="center"/>
          </w:tcPr>
          <w:p>
            <w:pPr>
              <w:widowControl/>
              <w:spacing w:line="260" w:lineRule="exact"/>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围绕解决新市民和青年人等住房问题，定期公开城镇保障性安居工程建设计划和房源信息，细化公开住房租赁补贴申领的条件、程序、管理和审批情况。</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区住房城乡建设局</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13</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line="260" w:lineRule="exact"/>
              <w:jc w:val="both"/>
              <w:rPr>
                <w:rFonts w:ascii="仿宋_GB2312" w:hAnsi="仿宋_GB2312" w:eastAsia="仿宋_GB2312" w:cs="Times New Roman"/>
              </w:rPr>
            </w:pPr>
            <w:r>
              <w:rPr>
                <w:rFonts w:hint="eastAsia" w:ascii="仿宋_GB2312" w:hAnsi="仿宋_GB2312" w:eastAsia="仿宋_GB2312" w:cs="仿宋_GB2312"/>
                <w:kern w:val="2"/>
              </w:rPr>
              <w:t>加强养老托育服务体系建设，做好养老托育相关配套政策的宣传解读工作，加大对养老托育机构质量安全、从业人员、运营秩序等方面的监管力度，及时公开监管结果。</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区民政局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区卫生健康局</w:t>
            </w: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14</w:t>
            </w:r>
          </w:p>
        </w:tc>
        <w:tc>
          <w:tcPr>
            <w:tcW w:w="1475" w:type="dxa"/>
            <w:vMerge w:val="restart"/>
            <w:vAlign w:val="center"/>
          </w:tcPr>
          <w:p>
            <w:pPr>
              <w:pStyle w:val="4"/>
              <w:widowControl/>
              <w:shd w:val="clear" w:color="auto" w:fill="FFFFFF"/>
              <w:spacing w:beforeAutospacing="0" w:afterAutospacing="0"/>
              <w:jc w:val="center"/>
              <w:rPr>
                <w:rFonts w:ascii="楷体_GB2312" w:hAnsi="仿宋_GB2312" w:eastAsia="楷体_GB2312" w:cs="Times New Roman"/>
                <w:kern w:val="2"/>
              </w:rPr>
            </w:pPr>
            <w:r>
              <w:rPr>
                <w:rFonts w:hint="eastAsia" w:ascii="楷体_GB2312" w:hAnsi="仿宋_GB2312" w:eastAsia="楷体_GB2312" w:cs="楷体_GB2312"/>
              </w:rPr>
              <w:t>围绕规范行政决策做好政务公开</w:t>
            </w:r>
          </w:p>
        </w:tc>
        <w:tc>
          <w:tcPr>
            <w:tcW w:w="1638" w:type="dxa"/>
            <w:vMerge w:val="restart"/>
            <w:vAlign w:val="center"/>
          </w:tcPr>
          <w:p>
            <w:pPr>
              <w:widowControl/>
              <w:jc w:val="center"/>
              <w:rPr>
                <w:rFonts w:ascii="楷体_GB2312" w:hAnsi="仿宋_GB2312" w:eastAsia="楷体_GB2312" w:cs="Times New Roman"/>
                <w:spacing w:val="4"/>
                <w:sz w:val="24"/>
                <w:szCs w:val="24"/>
              </w:rPr>
            </w:pPr>
            <w:r>
              <w:rPr>
                <w:rFonts w:hint="eastAsia" w:ascii="楷体_GB2312" w:hAnsi="仿宋_GB2312" w:eastAsia="楷体_GB2312" w:cs="楷体_GB2312"/>
                <w:spacing w:val="4"/>
                <w:sz w:val="24"/>
                <w:szCs w:val="24"/>
              </w:rPr>
              <w:t>深入推进重大行政决策事项目录</w:t>
            </w:r>
          </w:p>
          <w:p>
            <w:pPr>
              <w:widowControl/>
              <w:jc w:val="center"/>
              <w:rPr>
                <w:rFonts w:ascii="楷体_GB2312" w:hAnsi="仿宋_GB2312" w:eastAsia="楷体_GB2312" w:cs="Times New Roman"/>
                <w:sz w:val="24"/>
                <w:szCs w:val="24"/>
              </w:rPr>
            </w:pPr>
            <w:r>
              <w:rPr>
                <w:rFonts w:hint="eastAsia" w:ascii="楷体_GB2312" w:hAnsi="仿宋_GB2312" w:eastAsia="楷体_GB2312" w:cs="楷体_GB2312"/>
                <w:spacing w:val="4"/>
                <w:sz w:val="24"/>
                <w:szCs w:val="24"/>
              </w:rPr>
              <w:t>公开</w:t>
            </w:r>
          </w:p>
        </w:tc>
        <w:tc>
          <w:tcPr>
            <w:tcW w:w="5675" w:type="dxa"/>
            <w:vAlign w:val="center"/>
          </w:tcPr>
          <w:p>
            <w:pPr>
              <w:widowControl/>
              <w:spacing w:line="260" w:lineRule="exact"/>
              <w:rPr>
                <w:rFonts w:ascii="仿宋_GB2312" w:hAnsi="仿宋_GB2312" w:eastAsia="仿宋_GB2312" w:cs="Times New Roman"/>
                <w:kern w:val="0"/>
                <w:sz w:val="24"/>
                <w:szCs w:val="24"/>
              </w:rPr>
            </w:pPr>
            <w:r>
              <w:rPr>
                <w:rFonts w:hint="eastAsia" w:ascii="仿宋_GB2312" w:hAnsi="仿宋_GB2312" w:eastAsia="仿宋_GB2312" w:cs="仿宋_GB2312"/>
                <w:spacing w:val="4"/>
                <w:sz w:val="24"/>
                <w:szCs w:val="24"/>
              </w:rPr>
              <w:t>持续实行重大行政决策事项目录管理，编制区级年度重大行政决策事项目录，并主动向社会公开。</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区司法局</w:t>
            </w: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月底前</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（已完成）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15</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line="260" w:lineRule="exact"/>
              <w:jc w:val="both"/>
              <w:rPr>
                <w:rFonts w:ascii="仿宋_GB2312" w:hAnsi="仿宋_GB2312" w:eastAsia="仿宋_GB2312" w:cs="Times New Roman"/>
              </w:rPr>
            </w:pPr>
            <w:r>
              <w:rPr>
                <w:rFonts w:hint="eastAsia" w:ascii="仿宋_GB2312" w:hAnsi="仿宋_GB2312" w:eastAsia="仿宋_GB2312" w:cs="仿宋_GB2312"/>
                <w:kern w:val="2"/>
              </w:rPr>
              <w:t>按照决策事项流程，</w:t>
            </w:r>
            <w:r>
              <w:rPr>
                <w:rFonts w:hint="eastAsia" w:ascii="仿宋_GB2312" w:hAnsi="仿宋_GB2312" w:eastAsia="仿宋_GB2312" w:cs="仿宋_GB2312"/>
                <w:spacing w:val="4"/>
              </w:rPr>
              <w:t>以事项目录超链接方式归集展示决策草案全文、草案说明、决策背景、公众意见建议收集和采纳情况、公众代表列席决策会议情况、决策结果等信息，视情公开重大决策风险评估、专家论证、效果评估等信息。</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p>
            <w:pPr>
              <w:widowControl/>
              <w:rPr>
                <w:rFonts w:ascii="仿宋_GB2312" w:hAnsi="仿宋_GB2312" w:eastAsia="仿宋_GB2312" w:cs="Times New Roman"/>
                <w:kern w:val="0"/>
                <w:sz w:val="24"/>
                <w:szCs w:val="24"/>
              </w:rPr>
            </w:pP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16</w:t>
            </w:r>
          </w:p>
        </w:tc>
        <w:tc>
          <w:tcPr>
            <w:tcW w:w="1475" w:type="dxa"/>
            <w:vMerge w:val="continue"/>
            <w:vAlign w:val="center"/>
          </w:tcPr>
          <w:p>
            <w:pPr>
              <w:widowControl/>
              <w:jc w:val="center"/>
              <w:rPr>
                <w:rFonts w:ascii="楷体_GB2312" w:hAnsi="仿宋_GB2312" w:eastAsia="楷体_GB2312" w:cs="Times New Roman"/>
                <w:kern w:val="0"/>
                <w:sz w:val="24"/>
                <w:szCs w:val="24"/>
              </w:rPr>
            </w:pP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深入推进政府决策事项全过程公开</w:t>
            </w:r>
          </w:p>
        </w:tc>
        <w:tc>
          <w:tcPr>
            <w:tcW w:w="5675" w:type="dxa"/>
            <w:vAlign w:val="center"/>
          </w:tcPr>
          <w:p>
            <w:pPr>
              <w:widowControl/>
              <w:spacing w:line="260" w:lineRule="exact"/>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对与群众利益密切相关的决策事项，应当综合选择政府网站、政务新媒体、新闻发布会、政府信息查阅场所以及报纸、广播、电视等便于社会公众知晓的途径或采取座谈会、听证会、实地走访、民意调查等方式公开征求意见。决策文件出台后的</w:t>
            </w:r>
            <w:r>
              <w:rPr>
                <w:rFonts w:ascii="仿宋_GB2312" w:hAnsi="仿宋_GB2312" w:eastAsia="仿宋_GB2312" w:cs="仿宋_GB2312"/>
                <w:sz w:val="24"/>
                <w:szCs w:val="24"/>
              </w:rPr>
              <w:t>10</w:t>
            </w:r>
            <w:r>
              <w:rPr>
                <w:rFonts w:hint="eastAsia" w:ascii="仿宋_GB2312" w:hAnsi="仿宋_GB2312" w:eastAsia="仿宋_GB2312" w:cs="仿宋_GB2312"/>
                <w:sz w:val="24"/>
                <w:szCs w:val="24"/>
              </w:rPr>
              <w:t>个工作日内，相关牵头单位要向社会详细公开前期意见的收集、采纳情况以及较为集中意见不予采纳的原因。</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17</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pStyle w:val="4"/>
              <w:widowControl/>
              <w:shd w:val="clear" w:color="auto" w:fill="FFFFFF"/>
              <w:spacing w:beforeAutospacing="0" w:afterAutospacing="0" w:line="280" w:lineRule="exact"/>
              <w:jc w:val="both"/>
              <w:rPr>
                <w:rFonts w:ascii="仿宋_GB2312" w:hAnsi="仿宋_GB2312" w:eastAsia="仿宋_GB2312" w:cs="Times New Roman"/>
              </w:rPr>
            </w:pPr>
            <w:r>
              <w:rPr>
                <w:rFonts w:hint="eastAsia" w:ascii="仿宋_GB2312" w:hAnsi="仿宋_GB2312" w:eastAsia="仿宋_GB2312" w:cs="仿宋_GB2312"/>
                <w:kern w:val="2"/>
              </w:rPr>
              <w:t>推动利益相关方、公众代表、专家、媒体等列席政府相关会议，年内邀请公众代表列席政府常务会议应不少于</w:t>
            </w:r>
            <w:r>
              <w:rPr>
                <w:rFonts w:ascii="仿宋_GB2312" w:hAnsi="仿宋_GB2312" w:eastAsia="仿宋_GB2312" w:cs="仿宋_GB2312"/>
                <w:kern w:val="2"/>
              </w:rPr>
              <w:t>5</w:t>
            </w:r>
            <w:r>
              <w:rPr>
                <w:rFonts w:hint="eastAsia" w:ascii="仿宋_GB2312" w:hAnsi="仿宋_GB2312" w:eastAsia="仿宋_GB2312" w:cs="仿宋_GB2312"/>
                <w:kern w:val="2"/>
              </w:rPr>
              <w:t>次，并将列席代表的意见和采纳情况向社会公开。有条件时可选择合适议题在线直播审议过程。</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区政府办公室</w:t>
            </w: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18</w:t>
            </w:r>
          </w:p>
        </w:tc>
        <w:tc>
          <w:tcPr>
            <w:tcW w:w="1475" w:type="dxa"/>
            <w:vAlign w:val="center"/>
          </w:tcPr>
          <w:p>
            <w:pPr>
              <w:rPr>
                <w:rFonts w:ascii="楷体_GB2312" w:eastAsia="楷体_GB2312" w:cs="Times New Roman"/>
                <w:sz w:val="24"/>
                <w:szCs w:val="24"/>
              </w:rPr>
            </w:pPr>
            <w:r>
              <w:rPr>
                <w:rFonts w:hint="eastAsia" w:ascii="楷体_GB2312" w:eastAsia="楷体_GB2312" w:cs="楷体_GB2312"/>
                <w:sz w:val="24"/>
                <w:szCs w:val="24"/>
              </w:rPr>
              <w:t>围绕规范行政决策做好政务公开</w:t>
            </w:r>
          </w:p>
        </w:tc>
        <w:tc>
          <w:tcPr>
            <w:tcW w:w="1638" w:type="dxa"/>
            <w:vAlign w:val="center"/>
          </w:tcPr>
          <w:p>
            <w:pPr>
              <w:rPr>
                <w:rFonts w:ascii="楷体_GB2312" w:eastAsia="楷体_GB2312" w:cs="Times New Roman"/>
                <w:sz w:val="24"/>
                <w:szCs w:val="24"/>
              </w:rPr>
            </w:pPr>
            <w:r>
              <w:rPr>
                <w:rFonts w:hint="eastAsia" w:ascii="楷体_GB2312" w:eastAsia="楷体_GB2312" w:cs="楷体_GB2312"/>
                <w:sz w:val="24"/>
                <w:szCs w:val="24"/>
              </w:rPr>
              <w:t>深入推进政策评价效果常态化公开</w:t>
            </w: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各部门（单位）要建立健全常态化政策评估机制，选取重点政策，围绕执行标准、适用范围、使用情况、取得成效、存在问题等方面，采取政府开放日、征集调查、专题座谈、重点访谈、舆情监测、网络问政等方式开展实施效果评价，全面掌握政策实施情况。深入分析政策评价结果，适情调整政策措施。全区原则上每年至少开展</w:t>
            </w:r>
            <w:r>
              <w:rPr>
                <w:rFonts w:ascii="仿宋_GB2312" w:hAnsi="仿宋_GB2312" w:eastAsia="仿宋_GB2312" w:cs="仿宋_GB2312"/>
                <w:kern w:val="2"/>
              </w:rPr>
              <w:t>5</w:t>
            </w:r>
            <w:r>
              <w:rPr>
                <w:rFonts w:hint="eastAsia" w:ascii="仿宋_GB2312" w:hAnsi="仿宋_GB2312" w:eastAsia="仿宋_GB2312" w:cs="仿宋_GB2312"/>
                <w:kern w:val="2"/>
              </w:rPr>
              <w:t>次。</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19</w:t>
            </w:r>
          </w:p>
        </w:tc>
        <w:tc>
          <w:tcPr>
            <w:tcW w:w="1475" w:type="dxa"/>
            <w:vMerge w:val="restart"/>
            <w:vAlign w:val="center"/>
          </w:tcPr>
          <w:p>
            <w:pPr>
              <w:rPr>
                <w:rFonts w:ascii="楷体_GB2312" w:eastAsia="楷体_GB2312" w:cs="Times New Roman"/>
                <w:sz w:val="24"/>
                <w:szCs w:val="24"/>
              </w:rPr>
            </w:pPr>
            <w:r>
              <w:rPr>
                <w:rFonts w:hint="eastAsia" w:ascii="楷体_GB2312" w:eastAsia="楷体_GB2312" w:cs="楷体_GB2312"/>
                <w:sz w:val="24"/>
                <w:szCs w:val="24"/>
              </w:rPr>
              <w:t>围绕加强政策发布解读做好政务</w:t>
            </w:r>
          </w:p>
          <w:p>
            <w:pPr>
              <w:rPr>
                <w:rFonts w:ascii="楷体_GB2312" w:eastAsia="楷体_GB2312" w:cs="Times New Roman"/>
                <w:sz w:val="24"/>
                <w:szCs w:val="24"/>
              </w:rPr>
            </w:pPr>
            <w:r>
              <w:rPr>
                <w:rFonts w:hint="eastAsia" w:ascii="楷体_GB2312" w:eastAsia="楷体_GB2312" w:cs="楷体_GB2312"/>
                <w:sz w:val="24"/>
                <w:szCs w:val="24"/>
              </w:rPr>
              <w:t>公开</w:t>
            </w:r>
          </w:p>
        </w:tc>
        <w:tc>
          <w:tcPr>
            <w:tcW w:w="1638" w:type="dxa"/>
            <w:vMerge w:val="restart"/>
            <w:vAlign w:val="center"/>
          </w:tcPr>
          <w:p>
            <w:pPr>
              <w:rPr>
                <w:rFonts w:ascii="楷体_GB2312" w:eastAsia="楷体_GB2312" w:cs="Times New Roman"/>
                <w:sz w:val="24"/>
                <w:szCs w:val="24"/>
              </w:rPr>
            </w:pPr>
            <w:r>
              <w:rPr>
                <w:rFonts w:hint="eastAsia" w:ascii="楷体_GB2312" w:eastAsia="楷体_GB2312" w:cs="楷体_GB2312"/>
                <w:sz w:val="24"/>
                <w:szCs w:val="24"/>
              </w:rPr>
              <w:t>持续推进政策规范化</w:t>
            </w:r>
          </w:p>
          <w:p>
            <w:pPr>
              <w:rPr>
                <w:rFonts w:ascii="楷体_GB2312" w:eastAsia="楷体_GB2312" w:cs="Times New Roman"/>
                <w:sz w:val="24"/>
                <w:szCs w:val="24"/>
              </w:rPr>
            </w:pPr>
            <w:r>
              <w:rPr>
                <w:rFonts w:hint="eastAsia" w:ascii="楷体_GB2312" w:eastAsia="楷体_GB2312" w:cs="楷体_GB2312"/>
                <w:sz w:val="24"/>
                <w:szCs w:val="24"/>
              </w:rPr>
              <w:t>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强化政府信息公开专栏建设，规范发布法定主动公开内容，动态管理主动公开基本目录，并结合重点任务和群众需求实时调整更新。</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20</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进一步深化政府文件库建设，推动各部门（单位）政策文件数据规范化标准化汇聚，实现一库全收、上下贯通。聚焦市场主体与社会公众的办事创业需求和关注热点，做好各类政府文件分级分类展示工作，增加政府文件库特色主题分类，提高检索便利性和精准度。对政府文件库实行动态更新，做到全量覆盖、要素齐全、格式规范，并同步推送至市级政府文件库。</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区政府办公室</w:t>
            </w: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21</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聚焦企业痛点、难点、堵点问题，探索企业“点餐”、政府“配餐”的路径，打造政策文件包，依托系统集成</w:t>
            </w:r>
            <w:r>
              <w:rPr>
                <w:rFonts w:hint="eastAsia" w:ascii="仿宋_GB2312" w:hAnsi="仿宋_GB2312" w:eastAsia="仿宋_GB2312" w:cs="仿宋_GB2312"/>
              </w:rPr>
              <w:t>实现涉企惠企政策的全生命周期展示</w:t>
            </w:r>
            <w:r>
              <w:rPr>
                <w:rFonts w:hint="eastAsia" w:ascii="仿宋_GB2312" w:hAnsi="仿宋_GB2312" w:eastAsia="仿宋_GB2312" w:cs="仿宋_GB2312"/>
                <w:spacing w:val="4"/>
              </w:rPr>
              <w:t>。</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22</w:t>
            </w:r>
          </w:p>
        </w:tc>
        <w:tc>
          <w:tcPr>
            <w:tcW w:w="1475" w:type="dxa"/>
            <w:vMerge w:val="restart"/>
            <w:vAlign w:val="center"/>
          </w:tcPr>
          <w:p>
            <w:pPr>
              <w:widowControl/>
              <w:jc w:val="center"/>
              <w:rPr>
                <w:rFonts w:ascii="楷体_GB2312" w:hAnsi="仿宋_GB2312" w:eastAsia="楷体_GB2312" w:cs="Times New Roman"/>
                <w:sz w:val="24"/>
                <w:szCs w:val="24"/>
              </w:rPr>
            </w:pPr>
            <w:r>
              <w:rPr>
                <w:rFonts w:hint="eastAsia" w:ascii="楷体_GB2312" w:hAnsi="仿宋_GB2312" w:eastAsia="楷体_GB2312" w:cs="楷体_GB2312"/>
                <w:sz w:val="24"/>
                <w:szCs w:val="24"/>
              </w:rPr>
              <w:t>围绕加强政策发布解读做好政务</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z w:val="24"/>
                <w:szCs w:val="24"/>
              </w:rPr>
              <w:t>公开</w:t>
            </w:r>
          </w:p>
        </w:tc>
        <w:tc>
          <w:tcPr>
            <w:tcW w:w="1638" w:type="dxa"/>
            <w:vMerge w:val="restart"/>
            <w:vAlign w:val="center"/>
          </w:tcPr>
          <w:p>
            <w:pPr>
              <w:widowControl/>
              <w:jc w:val="center"/>
              <w:rPr>
                <w:rFonts w:ascii="楷体_GB2312" w:hAnsi="仿宋_GB2312" w:eastAsia="楷体_GB2312" w:cs="Times New Roman"/>
                <w:sz w:val="24"/>
                <w:szCs w:val="24"/>
              </w:rPr>
            </w:pPr>
            <w:r>
              <w:rPr>
                <w:rFonts w:hint="eastAsia" w:ascii="楷体_GB2312" w:hAnsi="仿宋_GB2312" w:eastAsia="楷体_GB2312" w:cs="楷体_GB2312"/>
                <w:sz w:val="24"/>
                <w:szCs w:val="24"/>
              </w:rPr>
              <w:t>持续抓好政策高质量</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z w:val="24"/>
                <w:szCs w:val="24"/>
              </w:rPr>
              <w:t>解读</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明确解读范围，对行政规范性文件以及行政机关制发的涉及公众权益的政策性文件按规定实施解读。</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23</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严格解读程序，认真落实政策解读“三同步”工作机制，将政策解读作为文件审签的重要一环，做到政策文件不解读不运转、解读材料不达标不运转。</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24</w:t>
            </w:r>
          </w:p>
        </w:tc>
        <w:tc>
          <w:tcPr>
            <w:tcW w:w="1475" w:type="dxa"/>
            <w:vMerge w:val="continue"/>
            <w:vAlign w:val="center"/>
          </w:tcPr>
          <w:p>
            <w:pPr>
              <w:widowControl/>
              <w:jc w:val="center"/>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深化解读内容，充分收集公众需求，对政策中与公众生产生活密切相关的具体条款和政策事项，进行要点拆分、深度解读和综合指引。延伸解读环节，对政策公布后的社会普遍疑虑和争议点，开展有针对性地延伸解读。</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25</w:t>
            </w:r>
          </w:p>
        </w:tc>
        <w:tc>
          <w:tcPr>
            <w:tcW w:w="1475" w:type="dxa"/>
            <w:vMerge w:val="continue"/>
            <w:vAlign w:val="center"/>
          </w:tcPr>
          <w:p>
            <w:pPr>
              <w:widowControl/>
              <w:rPr>
                <w:rFonts w:ascii="仿宋_GB2312" w:hAnsi="仿宋_GB2312" w:eastAsia="仿宋_GB2312" w:cs="Times New Roman"/>
                <w:kern w:val="0"/>
                <w:sz w:val="24"/>
                <w:szCs w:val="24"/>
              </w:rPr>
            </w:pPr>
          </w:p>
        </w:tc>
        <w:tc>
          <w:tcPr>
            <w:tcW w:w="1638" w:type="dxa"/>
            <w:vMerge w:val="continue"/>
            <w:vAlign w:val="center"/>
          </w:tcPr>
          <w:p>
            <w:pPr>
              <w:widowControl/>
              <w:rPr>
                <w:rFonts w:ascii="仿宋_GB2312" w:hAnsi="仿宋_GB2312" w:eastAsia="仿宋_GB2312" w:cs="Times New Roman"/>
                <w:kern w:val="0"/>
                <w:sz w:val="24"/>
                <w:szCs w:val="24"/>
              </w:rPr>
            </w:pP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创新解读形式，在文字、图片、视频解读的基础上，积极运用互动直播、简明问答、现场演示等多样化方式进行解读，以区政府或区政府办公室名义制发的重要政策性文件原则上应采用不少于</w:t>
            </w:r>
            <w:r>
              <w:rPr>
                <w:rFonts w:ascii="仿宋_GB2312" w:hAnsi="仿宋_GB2312" w:eastAsia="仿宋_GB2312" w:cs="仿宋_GB2312"/>
                <w:kern w:val="2"/>
              </w:rPr>
              <w:t>5</w:t>
            </w:r>
            <w:r>
              <w:rPr>
                <w:rFonts w:hint="eastAsia" w:ascii="仿宋_GB2312" w:hAnsi="仿宋_GB2312" w:eastAsia="仿宋_GB2312" w:cs="仿宋_GB2312"/>
                <w:kern w:val="2"/>
              </w:rPr>
              <w:t>种解读形式，各部门（单位）制发的文件原则上应采用不少于</w:t>
            </w:r>
            <w:r>
              <w:rPr>
                <w:rFonts w:ascii="仿宋_GB2312" w:hAnsi="仿宋_GB2312" w:eastAsia="仿宋_GB2312" w:cs="仿宋_GB2312"/>
                <w:kern w:val="2"/>
              </w:rPr>
              <w:t>3</w:t>
            </w:r>
            <w:r>
              <w:rPr>
                <w:rFonts w:hint="eastAsia" w:ascii="仿宋_GB2312" w:hAnsi="仿宋_GB2312" w:eastAsia="仿宋_GB2312" w:cs="仿宋_GB2312"/>
                <w:kern w:val="2"/>
              </w:rPr>
              <w:t>种解读形式。</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26</w:t>
            </w:r>
          </w:p>
        </w:tc>
        <w:tc>
          <w:tcPr>
            <w:tcW w:w="1475" w:type="dxa"/>
            <w:vMerge w:val="restart"/>
            <w:vAlign w:val="center"/>
          </w:tcPr>
          <w:p>
            <w:pPr>
              <w:widowControl/>
              <w:jc w:val="center"/>
              <w:rPr>
                <w:rFonts w:ascii="楷体_GB2312" w:hAnsi="仿宋_GB2312" w:eastAsia="楷体_GB2312" w:cs="Times New Roman"/>
                <w:sz w:val="24"/>
                <w:szCs w:val="24"/>
              </w:rPr>
            </w:pPr>
            <w:r>
              <w:rPr>
                <w:rFonts w:hint="eastAsia" w:ascii="楷体_GB2312" w:hAnsi="仿宋_GB2312" w:eastAsia="楷体_GB2312" w:cs="楷体_GB2312"/>
                <w:sz w:val="24"/>
                <w:szCs w:val="24"/>
              </w:rPr>
              <w:t>围绕加强政策发布解读做好政务</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z w:val="24"/>
                <w:szCs w:val="24"/>
              </w:rPr>
              <w:t>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持续做好社会关切回应</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加强对重大政策的社会效果和舆情风险评估，相关部门主要负责同志应出席新闻发布会进行宣传解读。综合利用</w:t>
            </w:r>
            <w:r>
              <w:rPr>
                <w:rFonts w:ascii="仿宋_GB2312" w:hAnsi="仿宋_GB2312" w:eastAsia="仿宋_GB2312" w:cs="仿宋_GB2312"/>
                <w:sz w:val="24"/>
                <w:szCs w:val="24"/>
              </w:rPr>
              <w:t>12345</w:t>
            </w:r>
            <w:r>
              <w:rPr>
                <w:rFonts w:hint="eastAsia" w:ascii="仿宋_GB2312" w:hAnsi="仿宋_GB2312" w:eastAsia="仿宋_GB2312" w:cs="仿宋_GB2312"/>
                <w:sz w:val="24"/>
                <w:szCs w:val="24"/>
              </w:rPr>
              <w:t>市民服务热线、民声连线、政务微博、微信、政务监督热线、信访投诉等渠道，提升政民互动回应关切水平。</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27</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协同宣传、网信等有关部门（单位），在特大、重大突发事件中快速响应政务舆情，加强政务舆情监测研判，</w:t>
            </w:r>
            <w:r>
              <w:rPr>
                <w:rFonts w:hint="eastAsia" w:ascii="仿宋_GB2312" w:hAnsi="仿宋_GB2312" w:eastAsia="仿宋_GB2312" w:cs="仿宋_GB2312"/>
                <w:spacing w:val="4"/>
              </w:rPr>
              <w:t>提高对社会热点的发现、搜集和反馈能力，</w:t>
            </w:r>
            <w:r>
              <w:rPr>
                <w:rFonts w:hint="eastAsia" w:ascii="仿宋_GB2312" w:hAnsi="仿宋_GB2312" w:eastAsia="仿宋_GB2312" w:cs="仿宋_GB2312"/>
                <w:kern w:val="2"/>
              </w:rPr>
              <w:t>确保及时回应涉及本辖区、本部门（单位）的政务舆情热点。</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28</w:t>
            </w:r>
          </w:p>
        </w:tc>
        <w:tc>
          <w:tcPr>
            <w:tcW w:w="1475" w:type="dxa"/>
            <w:vMerge w:val="continue"/>
            <w:vAlign w:val="center"/>
          </w:tcPr>
          <w:p>
            <w:pPr>
              <w:widowControl/>
              <w:jc w:val="center"/>
              <w:rPr>
                <w:rFonts w:ascii="楷体_GB2312" w:hAnsi="仿宋_GB2312" w:eastAsia="楷体_GB2312" w:cs="楷体_GB2312"/>
                <w:kern w:val="0"/>
                <w:sz w:val="24"/>
                <w:szCs w:val="24"/>
              </w:rPr>
            </w:pPr>
          </w:p>
        </w:tc>
        <w:tc>
          <w:tcPr>
            <w:tcW w:w="1638" w:type="dxa"/>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持续开展政府开放活动</w:t>
            </w: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围绕年度重点工作、重大工程，按照重要政策发布时点，聚焦营商环境、民生保障、公正监管、公共安全等公众广泛关注的领域，常态化开展政府开放活动，设置答疑、座谈会或问卷调查等环节，安排相关领导干部、熟悉业务的工作人员现场解答疑问，听取对政府工作的意见建议，并将吸收采纳情况向社会公开。</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29</w:t>
            </w:r>
          </w:p>
        </w:tc>
        <w:tc>
          <w:tcPr>
            <w:tcW w:w="1475" w:type="dxa"/>
            <w:vMerge w:val="restart"/>
            <w:vAlign w:val="center"/>
          </w:tcPr>
          <w:p>
            <w:pPr>
              <w:widowControl/>
              <w:jc w:val="center"/>
              <w:rPr>
                <w:rFonts w:ascii="楷体_GB2312" w:hAnsi="仿宋_GB2312" w:eastAsia="楷体_GB2312" w:cs="Times New Roman"/>
                <w:spacing w:val="4"/>
                <w:sz w:val="24"/>
                <w:szCs w:val="24"/>
              </w:rPr>
            </w:pPr>
            <w:r>
              <w:rPr>
                <w:rFonts w:hint="eastAsia" w:ascii="楷体_GB2312" w:hAnsi="仿宋_GB2312" w:eastAsia="楷体_GB2312" w:cs="楷体_GB2312"/>
                <w:spacing w:val="4"/>
                <w:sz w:val="24"/>
                <w:szCs w:val="24"/>
              </w:rPr>
              <w:t>围绕标准化规范化建设做好政务</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强化政务公开数字化管理平台建设</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加强政府网站集约化平台建设，持续推进省市区平台互联互通，依托一体化大数据平台，实现数据资源整合共享。</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区政府办公室</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30</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持续优化平台功能，明确公开标准，统一操作规范，强化数据管理，保障信息安全，实现全区政务公开工作从标准化、规范化到数字化的能级提升。</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31</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spacing w:val="4"/>
              </w:rPr>
              <w:t>进一步做好政府公报工作，</w:t>
            </w:r>
            <w:r>
              <w:rPr>
                <w:rFonts w:hint="eastAsia" w:ascii="仿宋_GB2312" w:hAnsi="仿宋_GB2312" w:eastAsia="仿宋_GB2312" w:cs="仿宋_GB2312"/>
                <w:kern w:val="2"/>
              </w:rPr>
              <w:t>完善政府公报数据库，并与政务类移动端融合发展，提升“掌上公报”影响力。</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32</w:t>
            </w:r>
          </w:p>
        </w:tc>
        <w:tc>
          <w:tcPr>
            <w:tcW w:w="1475" w:type="dxa"/>
            <w:vMerge w:val="continue"/>
            <w:vAlign w:val="center"/>
          </w:tcPr>
          <w:p>
            <w:pPr>
              <w:widowControl/>
              <w:jc w:val="center"/>
              <w:rPr>
                <w:rFonts w:ascii="楷体_GB2312" w:hAnsi="仿宋_GB2312" w:eastAsia="楷体_GB2312" w:cs="楷体_GB2312"/>
                <w:kern w:val="0"/>
                <w:sz w:val="24"/>
                <w:szCs w:val="24"/>
              </w:rPr>
            </w:pP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推进政府网站和政务新媒体规范有序发展</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严格落实政府网站和政务新媒体“三审三校”制度，重要信息需经多人审看、专人把关，确保表述规范、内容准确。政府网站主办单位要按照“谁开设、谁申请、谁使用、谁负责”的原则管理政府网站域名。</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33</w:t>
            </w:r>
          </w:p>
        </w:tc>
        <w:tc>
          <w:tcPr>
            <w:tcW w:w="1475" w:type="dxa"/>
            <w:vMerge w:val="continue"/>
            <w:vAlign w:val="center"/>
          </w:tcPr>
          <w:p>
            <w:pPr>
              <w:widowControl/>
              <w:rPr>
                <w:rFonts w:ascii="仿宋_GB2312" w:hAnsi="仿宋_GB2312" w:eastAsia="仿宋_GB2312" w:cs="Times New Roman"/>
                <w:kern w:val="0"/>
                <w:sz w:val="24"/>
                <w:szCs w:val="24"/>
              </w:rPr>
            </w:pPr>
          </w:p>
        </w:tc>
        <w:tc>
          <w:tcPr>
            <w:tcW w:w="1638" w:type="dxa"/>
            <w:vMerge w:val="continue"/>
            <w:vAlign w:val="center"/>
          </w:tcPr>
          <w:p>
            <w:pPr>
              <w:widowControl/>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强化政府网站内容管理维护，按要求及时更新，重要信息及时转载，避免出现栏目空白等问题。持续完善政府网站办事服务、互动交流等功能，加快推进适老化与无障碍改造，不断提升网站搜索精准度。</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34</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围绕标准化规范化建设做好政务</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推进政府网站和政务新媒体规范有序发展</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严格落实政务新媒体备案制度，加强政务新媒体开设、变更、注销等全流程管理。规范政务新媒体管理，完善信息发布转载审核制度，做好监测预警和风险排查工作。实施政务新媒体矩阵建设，积极挖掘优秀账号，打造一批具有影响力和竞争力的政务新媒体。</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35</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探索推动政府网站、政务新媒体、政府公报数据无缝交换，实现政府网站和政务新媒体信息同步发布、办事服务同质同效。</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36</w:t>
            </w:r>
          </w:p>
        </w:tc>
        <w:tc>
          <w:tcPr>
            <w:tcW w:w="1475" w:type="dxa"/>
            <w:vMerge w:val="continue"/>
            <w:vAlign w:val="center"/>
          </w:tcPr>
          <w:p>
            <w:pPr>
              <w:widowControl/>
              <w:jc w:val="center"/>
              <w:rPr>
                <w:rFonts w:ascii="楷体_GB2312" w:hAnsi="仿宋_GB2312" w:eastAsia="楷体_GB2312" w:cs="楷体_GB2312"/>
                <w:kern w:val="0"/>
                <w:sz w:val="24"/>
                <w:szCs w:val="24"/>
              </w:rPr>
            </w:pP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扎实推进基层政务公开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在编制基层政务公开标准化目录的基础上，动态更新事项内容，进一步巩固政务公开标准化、规范化成果，</w:t>
            </w:r>
            <w:r>
              <w:rPr>
                <w:rFonts w:hint="eastAsia" w:ascii="仿宋_GB2312" w:hAnsi="仿宋_GB2312" w:eastAsia="仿宋_GB2312" w:cs="仿宋_GB2312"/>
                <w:spacing w:val="4"/>
                <w:sz w:val="24"/>
                <w:szCs w:val="24"/>
              </w:rPr>
              <w:t>打通政务公开“最后一公里”</w:t>
            </w:r>
            <w:r>
              <w:rPr>
                <w:rFonts w:hint="eastAsia" w:ascii="仿宋_GB2312" w:hAnsi="仿宋_GB2312" w:eastAsia="仿宋_GB2312" w:cs="仿宋_GB2312"/>
                <w:sz w:val="24"/>
                <w:szCs w:val="24"/>
              </w:rPr>
              <w:t>。持续推进政务公开特色化建设，形成操作性强、可复制推广的工作经验，打造富有特色的政务公开新模式。</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37</w:t>
            </w:r>
          </w:p>
        </w:tc>
        <w:tc>
          <w:tcPr>
            <w:tcW w:w="1475" w:type="dxa"/>
            <w:vMerge w:val="continue"/>
            <w:vAlign w:val="center"/>
          </w:tcPr>
          <w:p>
            <w:pPr>
              <w:widowControl/>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进一步加强基层政务公开专区功能建设，增加在专区开展重要政策现场解读、综合政策辅导、办事流程演示等活动的频次，推动政务公开与基层办事服务深度融合。</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38</w:t>
            </w:r>
          </w:p>
        </w:tc>
        <w:tc>
          <w:tcPr>
            <w:tcW w:w="1475" w:type="dxa"/>
            <w:vMerge w:val="continue"/>
            <w:vAlign w:val="center"/>
          </w:tcPr>
          <w:p>
            <w:pPr>
              <w:widowControl/>
              <w:rPr>
                <w:rFonts w:ascii="仿宋_GB2312" w:hAnsi="仿宋_GB2312" w:eastAsia="仿宋_GB2312" w:cs="Times New Roman"/>
                <w:kern w:val="0"/>
                <w:sz w:val="24"/>
                <w:szCs w:val="24"/>
              </w:rPr>
            </w:pPr>
          </w:p>
        </w:tc>
        <w:tc>
          <w:tcPr>
            <w:tcW w:w="1638" w:type="dxa"/>
            <w:vMerge w:val="continue"/>
            <w:vAlign w:val="center"/>
          </w:tcPr>
          <w:p>
            <w:pPr>
              <w:widowControl/>
              <w:jc w:val="center"/>
              <w:rPr>
                <w:rFonts w:ascii="仿宋_GB2312" w:hAnsi="仿宋_GB2312" w:eastAsia="仿宋_GB2312" w:cs="Times New Roman"/>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进一步丰富基层政务公开形式，综合利用上级政府网站、村（居）微信群、农村（社区）公开栏，以及广播、电视、图书馆、电影下乡等媒介，对土地征收、旧村改造、义务教育入学、就诊就医、养老服务、村务居务等面向特定区域和人群的公开事项，实行定点公开和定向公开，方便公众查阅。</w:t>
            </w:r>
          </w:p>
        </w:tc>
        <w:tc>
          <w:tcPr>
            <w:tcW w:w="2390" w:type="dxa"/>
            <w:vMerge w:val="continue"/>
            <w:vAlign w:val="center"/>
          </w:tcPr>
          <w:p>
            <w:pPr>
              <w:widowControl/>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39</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围绕标准化规范化建设做好政务</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公开</w:t>
            </w: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依法依规做好政府信息依申请公开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根据《中华人民共和国政府信息公开条例》要求，不断增强依申请公开工作各环节的合理性。进一步规范依申请公开工作流程，加强部门会商协作，依法依规及时准确予以答复反馈。持续完善依申请公开转主动公开常态化审查机制，推动依申请公开工作提质增效。</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40</w:t>
            </w:r>
          </w:p>
        </w:tc>
        <w:tc>
          <w:tcPr>
            <w:tcW w:w="1475" w:type="dxa"/>
            <w:vMerge w:val="continue"/>
            <w:vAlign w:val="center"/>
          </w:tcPr>
          <w:p>
            <w:pPr>
              <w:widowControl/>
              <w:rPr>
                <w:rFonts w:ascii="楷体_GB2312" w:hAnsi="仿宋_GB2312" w:eastAsia="楷体_GB2312" w:cs="Times New Roman"/>
                <w:kern w:val="0"/>
                <w:sz w:val="24"/>
                <w:szCs w:val="24"/>
              </w:rPr>
            </w:pPr>
          </w:p>
        </w:tc>
        <w:tc>
          <w:tcPr>
            <w:tcW w:w="1638" w:type="dxa"/>
            <w:vMerge w:val="continue"/>
            <w:vAlign w:val="center"/>
          </w:tcPr>
          <w:p>
            <w:pPr>
              <w:widowControl/>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深入破解难点堵点问题，着力研究土地征收领域政府信息依申请公开的办理模式，总结梳理答复标准，规范答复内容。</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区自然资源局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41</w:t>
            </w:r>
          </w:p>
        </w:tc>
        <w:tc>
          <w:tcPr>
            <w:tcW w:w="1475" w:type="dxa"/>
            <w:vMerge w:val="continue"/>
            <w:vAlign w:val="center"/>
          </w:tcPr>
          <w:p>
            <w:pPr>
              <w:widowControl/>
              <w:jc w:val="center"/>
              <w:rPr>
                <w:rFonts w:ascii="楷体_GB2312" w:hAnsi="仿宋_GB2312" w:eastAsia="楷体_GB2312" w:cs="楷体_GB2312"/>
                <w:kern w:val="0"/>
                <w:sz w:val="24"/>
                <w:szCs w:val="24"/>
              </w:rPr>
            </w:pPr>
          </w:p>
        </w:tc>
        <w:tc>
          <w:tcPr>
            <w:tcW w:w="1638" w:type="dxa"/>
            <w:vMerge w:val="continue"/>
            <w:vAlign w:val="center"/>
          </w:tcPr>
          <w:p>
            <w:pPr>
              <w:widowControl/>
              <w:jc w:val="center"/>
              <w:rPr>
                <w:rFonts w:ascii="楷体_GB2312" w:hAnsi="仿宋_GB2312" w:eastAsia="楷体_GB2312" w:cs="楷体_GB2312"/>
                <w:kern w:val="0"/>
                <w:sz w:val="24"/>
                <w:szCs w:val="24"/>
              </w:rPr>
            </w:pP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分析研判政府信息依申请公开典型案例，辅助提升依申请公开答复水平。加快推进数字化建设，探索构建信息公开申请办理平台，完善受理、办理、分析、时限提醒等功能。</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区政府办公室</w:t>
            </w: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42</w:t>
            </w:r>
          </w:p>
        </w:tc>
        <w:tc>
          <w:tcPr>
            <w:tcW w:w="1475" w:type="dxa"/>
            <w:vMerge w:val="continue"/>
            <w:vAlign w:val="center"/>
          </w:tcPr>
          <w:p>
            <w:pPr>
              <w:widowControl/>
              <w:jc w:val="center"/>
              <w:rPr>
                <w:rFonts w:ascii="楷体_GB2312" w:hAnsi="仿宋_GB2312" w:eastAsia="楷体_GB2312" w:cs="楷体_GB2312"/>
                <w:kern w:val="0"/>
                <w:sz w:val="24"/>
                <w:szCs w:val="24"/>
              </w:rPr>
            </w:pPr>
          </w:p>
        </w:tc>
        <w:tc>
          <w:tcPr>
            <w:tcW w:w="1638" w:type="dxa"/>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规范公共企事业单位信息公开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pacing w:val="4"/>
                <w:sz w:val="24"/>
                <w:szCs w:val="24"/>
              </w:rPr>
              <w:t>按照国家和省、市相关领域公共企事业单位信息公开制度，</w:t>
            </w:r>
            <w:r>
              <w:rPr>
                <w:rFonts w:hint="eastAsia" w:ascii="仿宋_GB2312" w:hAnsi="仿宋_GB2312" w:eastAsia="仿宋_GB2312" w:cs="仿宋_GB2312"/>
                <w:sz w:val="24"/>
                <w:szCs w:val="24"/>
              </w:rPr>
              <w:t>进一步推动教育、卫生健康等领域的公共企事业单位信息公开规范化标准化。相关行业主管部门要明确公开领域目录，重点公开与人民群众日常生产生活密切相关、直接关系服务对象切身利益、社会舆论关注度高、反映问题较多的重要信息，切实履行主管职责。</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区教育体育局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区卫生健康局</w:t>
            </w: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68" w:type="dxa"/>
            <w:vAlign w:val="center"/>
          </w:tcPr>
          <w:p>
            <w:pPr>
              <w:widowControl/>
              <w:jc w:val="center"/>
              <w:rPr>
                <w:rFonts w:ascii="楷体_GB2312" w:hAnsi="楷体_GB2312" w:eastAsia="楷体_GB2312" w:cs="楷体_GB2312"/>
                <w:kern w:val="0"/>
                <w:sz w:val="24"/>
                <w:szCs w:val="24"/>
              </w:rPr>
            </w:pPr>
            <w:r>
              <w:rPr>
                <w:rFonts w:ascii="楷体_GB2312" w:hAnsi="楷体_GB2312" w:eastAsia="楷体_GB2312" w:cs="楷体_GB2312"/>
                <w:kern w:val="0"/>
                <w:sz w:val="24"/>
                <w:szCs w:val="24"/>
              </w:rPr>
              <w:t>43</w:t>
            </w:r>
          </w:p>
        </w:tc>
        <w:tc>
          <w:tcPr>
            <w:tcW w:w="1475" w:type="dxa"/>
            <w:vMerge w:val="restart"/>
            <w:vAlign w:val="center"/>
          </w:tcPr>
          <w:p>
            <w:pPr>
              <w:widowControl/>
              <w:jc w:val="center"/>
              <w:rPr>
                <w:rFonts w:ascii="楷体_GB2312" w:hAnsi="楷体_GB2312" w:eastAsia="楷体_GB2312" w:cs="Times New Roman"/>
                <w:kern w:val="0"/>
                <w:sz w:val="24"/>
                <w:szCs w:val="24"/>
              </w:rPr>
            </w:pPr>
            <w:r>
              <w:rPr>
                <w:rFonts w:hint="eastAsia" w:ascii="楷体_GB2312" w:hAnsi="楷体_GB2312" w:eastAsia="楷体_GB2312" w:cs="楷体_GB2312"/>
                <w:kern w:val="0"/>
                <w:sz w:val="24"/>
                <w:szCs w:val="24"/>
              </w:rPr>
              <w:t>围绕标准化规范化建设做好政务</w:t>
            </w:r>
          </w:p>
          <w:p>
            <w:pPr>
              <w:widowControl/>
              <w:jc w:val="center"/>
              <w:rPr>
                <w:rFonts w:ascii="楷体_GB2312" w:hAnsi="楷体_GB2312" w:eastAsia="楷体_GB2312" w:cs="Times New Roman"/>
                <w:kern w:val="0"/>
                <w:sz w:val="24"/>
                <w:szCs w:val="24"/>
              </w:rPr>
            </w:pPr>
            <w:r>
              <w:rPr>
                <w:rFonts w:hint="eastAsia" w:ascii="楷体_GB2312" w:hAnsi="楷体_GB2312" w:eastAsia="楷体_GB2312" w:cs="楷体_GB2312"/>
                <w:kern w:val="0"/>
                <w:sz w:val="24"/>
                <w:szCs w:val="24"/>
              </w:rPr>
              <w:t>公开</w:t>
            </w:r>
          </w:p>
        </w:tc>
        <w:tc>
          <w:tcPr>
            <w:tcW w:w="1638" w:type="dxa"/>
            <w:vMerge w:val="restart"/>
            <w:vAlign w:val="center"/>
          </w:tcPr>
          <w:p>
            <w:pPr>
              <w:widowControl/>
              <w:jc w:val="center"/>
              <w:rPr>
                <w:rFonts w:ascii="楷体_GB2312" w:hAnsi="楷体_GB2312" w:eastAsia="楷体_GB2312" w:cs="Times New Roman"/>
                <w:kern w:val="0"/>
                <w:sz w:val="24"/>
                <w:szCs w:val="24"/>
              </w:rPr>
            </w:pPr>
            <w:r>
              <w:rPr>
                <w:rFonts w:hint="eastAsia" w:ascii="楷体_GB2312" w:hAnsi="楷体_GB2312" w:eastAsia="楷体_GB2312" w:cs="楷体_GB2312"/>
                <w:kern w:val="0"/>
                <w:sz w:val="24"/>
                <w:szCs w:val="24"/>
              </w:rPr>
              <w:t>规范公共企事业单位信息公开</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强化属地管理，加大调度督导力度，在各公共企事业单位建立联络员制度，确保网站栏目清晰、要素齐全、更新及时。定期对公共企事业单位信息公开有关情况开展专项评估。</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区教育体育局</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区卫生健康局</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68" w:type="dxa"/>
            <w:vAlign w:val="center"/>
          </w:tcPr>
          <w:p>
            <w:pPr>
              <w:widowControl/>
              <w:jc w:val="center"/>
              <w:rPr>
                <w:rFonts w:ascii="楷体_GB2312" w:hAnsi="楷体_GB2312" w:eastAsia="楷体_GB2312" w:cs="楷体_GB2312"/>
                <w:kern w:val="0"/>
                <w:sz w:val="24"/>
                <w:szCs w:val="24"/>
              </w:rPr>
            </w:pPr>
            <w:r>
              <w:rPr>
                <w:rFonts w:ascii="楷体_GB2312" w:hAnsi="楷体_GB2312" w:eastAsia="楷体_GB2312" w:cs="楷体_GB2312"/>
                <w:kern w:val="0"/>
                <w:sz w:val="24"/>
                <w:szCs w:val="24"/>
              </w:rPr>
              <w:t>44</w:t>
            </w:r>
          </w:p>
        </w:tc>
        <w:tc>
          <w:tcPr>
            <w:tcW w:w="1475" w:type="dxa"/>
            <w:vMerge w:val="continue"/>
            <w:vAlign w:val="center"/>
          </w:tcPr>
          <w:p>
            <w:pPr>
              <w:widowControl/>
              <w:jc w:val="center"/>
              <w:rPr>
                <w:rFonts w:ascii="楷体_GB2312" w:hAnsi="楷体_GB2312" w:eastAsia="楷体_GB2312" w:cs="楷体_GB2312"/>
                <w:kern w:val="0"/>
                <w:sz w:val="24"/>
                <w:szCs w:val="24"/>
              </w:rPr>
            </w:pPr>
          </w:p>
        </w:tc>
        <w:tc>
          <w:tcPr>
            <w:tcW w:w="1638" w:type="dxa"/>
            <w:vMerge w:val="continue"/>
            <w:vAlign w:val="center"/>
          </w:tcPr>
          <w:p>
            <w:pPr>
              <w:widowControl/>
              <w:jc w:val="center"/>
              <w:rPr>
                <w:rFonts w:ascii="楷体_GB2312" w:hAnsi="楷体_GB2312" w:eastAsia="楷体_GB2312" w:cs="楷体_GB2312"/>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强化社会监督，畅通监督投诉渠道，对因公共企事业单位未依法及时公开相关信息而损害公众权益的，要依法依规严肃处理，及时督促整改。</w:t>
            </w:r>
          </w:p>
        </w:tc>
        <w:tc>
          <w:tcPr>
            <w:tcW w:w="2390" w:type="dxa"/>
            <w:vMerge w:val="continue"/>
            <w:vAlign w:val="center"/>
          </w:tcPr>
          <w:p>
            <w:pPr>
              <w:widowControl/>
              <w:jc w:val="center"/>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8" w:type="dxa"/>
            <w:vAlign w:val="center"/>
          </w:tcPr>
          <w:p>
            <w:pPr>
              <w:widowControl/>
              <w:jc w:val="center"/>
              <w:rPr>
                <w:rFonts w:ascii="楷体_GB2312" w:hAnsi="楷体_GB2312" w:eastAsia="楷体_GB2312" w:cs="楷体_GB2312"/>
                <w:kern w:val="0"/>
                <w:sz w:val="24"/>
                <w:szCs w:val="24"/>
              </w:rPr>
            </w:pPr>
            <w:r>
              <w:rPr>
                <w:rFonts w:ascii="楷体_GB2312" w:hAnsi="楷体_GB2312" w:eastAsia="楷体_GB2312" w:cs="楷体_GB2312"/>
                <w:kern w:val="0"/>
                <w:sz w:val="24"/>
                <w:szCs w:val="24"/>
              </w:rPr>
              <w:t>45</w:t>
            </w:r>
          </w:p>
        </w:tc>
        <w:tc>
          <w:tcPr>
            <w:tcW w:w="1475" w:type="dxa"/>
            <w:vMerge w:val="continue"/>
            <w:vAlign w:val="center"/>
          </w:tcPr>
          <w:p>
            <w:pPr>
              <w:widowControl/>
              <w:jc w:val="center"/>
              <w:rPr>
                <w:rFonts w:ascii="楷体_GB2312" w:hAnsi="楷体_GB2312" w:eastAsia="楷体_GB2312" w:cs="楷体_GB2312"/>
                <w:kern w:val="0"/>
                <w:sz w:val="24"/>
                <w:szCs w:val="24"/>
              </w:rPr>
            </w:pPr>
          </w:p>
        </w:tc>
        <w:tc>
          <w:tcPr>
            <w:tcW w:w="1638" w:type="dxa"/>
            <w:vMerge w:val="continue"/>
            <w:vAlign w:val="center"/>
          </w:tcPr>
          <w:p>
            <w:pPr>
              <w:widowControl/>
              <w:jc w:val="center"/>
              <w:rPr>
                <w:rFonts w:ascii="楷体_GB2312" w:hAnsi="楷体_GB2312" w:eastAsia="楷体_GB2312" w:cs="楷体_GB2312"/>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着力加强线下公开场所、电话咨询等公开渠道建设，及时回应社会关切，满足服务对象以及社会公众的个性化信息需求。</w:t>
            </w:r>
          </w:p>
        </w:tc>
        <w:tc>
          <w:tcPr>
            <w:tcW w:w="2390" w:type="dxa"/>
            <w:vMerge w:val="continue"/>
            <w:vAlign w:val="center"/>
          </w:tcPr>
          <w:p>
            <w:pPr>
              <w:widowControl/>
              <w:jc w:val="center"/>
              <w:rPr>
                <w:rFonts w:ascii="仿宋_GB2312" w:hAnsi="仿宋_GB2312" w:eastAsia="仿宋_GB2312" w:cs="Times New Roman"/>
                <w:kern w:val="0"/>
                <w:sz w:val="24"/>
                <w:szCs w:val="24"/>
              </w:rPr>
            </w:pP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768" w:type="dxa"/>
            <w:vAlign w:val="center"/>
          </w:tcPr>
          <w:p>
            <w:pPr>
              <w:widowControl/>
              <w:jc w:val="center"/>
              <w:rPr>
                <w:rFonts w:ascii="楷体_GB2312" w:hAnsi="楷体_GB2312" w:eastAsia="楷体_GB2312" w:cs="楷体_GB2312"/>
                <w:kern w:val="0"/>
                <w:sz w:val="24"/>
                <w:szCs w:val="24"/>
              </w:rPr>
            </w:pPr>
            <w:r>
              <w:rPr>
                <w:rFonts w:ascii="楷体_GB2312" w:hAnsi="楷体_GB2312" w:eastAsia="楷体_GB2312" w:cs="楷体_GB2312"/>
                <w:kern w:val="0"/>
                <w:sz w:val="24"/>
                <w:szCs w:val="24"/>
              </w:rPr>
              <w:t>46</w:t>
            </w:r>
          </w:p>
        </w:tc>
        <w:tc>
          <w:tcPr>
            <w:tcW w:w="1475" w:type="dxa"/>
            <w:vMerge w:val="continue"/>
            <w:vAlign w:val="center"/>
          </w:tcPr>
          <w:p>
            <w:pPr>
              <w:widowControl/>
              <w:jc w:val="center"/>
              <w:rPr>
                <w:rFonts w:ascii="楷体_GB2312" w:hAnsi="楷体_GB2312" w:eastAsia="楷体_GB2312" w:cs="楷体_GB2312"/>
                <w:kern w:val="0"/>
                <w:sz w:val="24"/>
                <w:szCs w:val="24"/>
              </w:rPr>
            </w:pPr>
          </w:p>
        </w:tc>
        <w:tc>
          <w:tcPr>
            <w:tcW w:w="1638" w:type="dxa"/>
            <w:vAlign w:val="center"/>
          </w:tcPr>
          <w:p>
            <w:pPr>
              <w:widowControl/>
              <w:jc w:val="center"/>
              <w:rPr>
                <w:rFonts w:ascii="楷体_GB2312" w:hAnsi="楷体_GB2312" w:eastAsia="楷体_GB2312" w:cs="Times New Roman"/>
                <w:sz w:val="24"/>
                <w:szCs w:val="24"/>
              </w:rPr>
            </w:pPr>
            <w:r>
              <w:rPr>
                <w:rFonts w:hint="eastAsia" w:ascii="楷体_GB2312" w:hAnsi="楷体_GB2312" w:eastAsia="楷体_GB2312" w:cs="楷体_GB2312"/>
                <w:sz w:val="24"/>
                <w:szCs w:val="24"/>
              </w:rPr>
              <w:t>持续打造“市中慧公开”</w:t>
            </w:r>
          </w:p>
          <w:p>
            <w:pPr>
              <w:widowControl/>
              <w:jc w:val="center"/>
              <w:rPr>
                <w:rFonts w:ascii="楷体_GB2312" w:hAnsi="楷体_GB2312" w:eastAsia="楷体_GB2312" w:cs="Times New Roman"/>
                <w:kern w:val="0"/>
                <w:sz w:val="24"/>
                <w:szCs w:val="24"/>
              </w:rPr>
            </w:pPr>
            <w:r>
              <w:rPr>
                <w:rFonts w:hint="eastAsia" w:ascii="楷体_GB2312" w:hAnsi="楷体_GB2312" w:eastAsia="楷体_GB2312" w:cs="楷体_GB2312"/>
                <w:sz w:val="24"/>
                <w:szCs w:val="24"/>
              </w:rPr>
              <w:t>品牌</w:t>
            </w: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立足基层实践，持续推进“市中慧公开”品牌特色化建设，积极探索符合本区域发展需求的政务公开特色建设路径，依托智慧化手段，不断提高公开信息到达率、政府决策透明度以及群众需求匹配度，推动政务公开与基层治理有机结合，打造富有我区特色的政务公开品牌。</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continue"/>
            <w:vAlign w:val="center"/>
          </w:tcPr>
          <w:p>
            <w:pPr>
              <w:widowControl/>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47</w:t>
            </w:r>
          </w:p>
        </w:tc>
        <w:tc>
          <w:tcPr>
            <w:tcW w:w="1475"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spacing w:val="4"/>
                <w:sz w:val="24"/>
                <w:szCs w:val="24"/>
              </w:rPr>
              <w:t>围绕强化工作保障做好政务公开</w:t>
            </w:r>
          </w:p>
        </w:tc>
        <w:tc>
          <w:tcPr>
            <w:tcW w:w="1638" w:type="dxa"/>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加强组织</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领导</w:t>
            </w: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充分发挥各单位政务公开议事协调机制作用，每年至少召开</w:t>
            </w:r>
            <w:r>
              <w:rPr>
                <w:rFonts w:ascii="仿宋_GB2312" w:hAnsi="仿宋_GB2312" w:eastAsia="仿宋_GB2312" w:cs="仿宋_GB2312"/>
                <w:kern w:val="2"/>
              </w:rPr>
              <w:t>1</w:t>
            </w:r>
            <w:r>
              <w:rPr>
                <w:rFonts w:hint="eastAsia" w:ascii="仿宋_GB2312" w:hAnsi="仿宋_GB2312" w:eastAsia="仿宋_GB2312" w:cs="仿宋_GB2312"/>
                <w:kern w:val="2"/>
              </w:rPr>
              <w:t>次会议研究解决重点难点问题，主要负责同志亲自过问、定期听取汇报、协调解决问题。要整合力量，理顺工作机制，明确责任分工，配齐配强工作人员，相关工作经费足额纳入年度预算。政务公开工作人员发生变动的，要逐项交接工作，并及时向上级政务公开主管部门备案。</w:t>
            </w:r>
          </w:p>
        </w:tc>
        <w:tc>
          <w:tcPr>
            <w:tcW w:w="2390"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Times New Roman"/>
                <w:kern w:val="0"/>
                <w:sz w:val="24"/>
                <w:szCs w:val="24"/>
              </w:rPr>
            </w:pPr>
            <w:r>
              <w:rPr>
                <w:rFonts w:ascii="楷体_GB2312" w:hAnsi="仿宋_GB2312" w:eastAsia="楷体_GB2312" w:cs="楷体_GB2312"/>
                <w:kern w:val="0"/>
                <w:sz w:val="24"/>
                <w:szCs w:val="24"/>
              </w:rPr>
              <w:t>48</w:t>
            </w:r>
          </w:p>
        </w:tc>
        <w:tc>
          <w:tcPr>
            <w:tcW w:w="1475" w:type="dxa"/>
            <w:vMerge w:val="continue"/>
            <w:vAlign w:val="center"/>
          </w:tcPr>
          <w:p>
            <w:pPr>
              <w:widowControl/>
              <w:jc w:val="center"/>
              <w:rPr>
                <w:rFonts w:ascii="楷体_GB2312" w:hAnsi="仿宋_GB2312" w:eastAsia="楷体_GB2312" w:cs="Times New Roman"/>
                <w:spacing w:val="4"/>
                <w:sz w:val="24"/>
                <w:szCs w:val="24"/>
              </w:rPr>
            </w:pP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加大培训</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力度</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各街道办事处、区政府有关部门每年至少组织</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次政务公开专题培训，着力增强领导干部信息公开意识。</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各街道办事处</w:t>
            </w:r>
          </w:p>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区政府各部门</w:t>
            </w:r>
          </w:p>
        </w:tc>
        <w:tc>
          <w:tcPr>
            <w:tcW w:w="1379" w:type="dxa"/>
            <w:vMerge w:val="restart"/>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49</w:t>
            </w:r>
          </w:p>
        </w:tc>
        <w:tc>
          <w:tcPr>
            <w:tcW w:w="1475" w:type="dxa"/>
            <w:vMerge w:val="continue"/>
            <w:vAlign w:val="center"/>
          </w:tcPr>
          <w:p>
            <w:pPr>
              <w:widowControl/>
              <w:jc w:val="center"/>
              <w:rPr>
                <w:rFonts w:ascii="楷体_GB2312" w:hAnsi="仿宋_GB2312" w:eastAsia="楷体_GB2312" w:cs="Times New Roman"/>
                <w:spacing w:val="4"/>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加大业务骨干培养力度，以实效、实用、实操为导向，定期举办业务培训班，灵活组织线上线下业务讲堂，培养一批既懂公开业务又懂网站技术的复合型人才。</w:t>
            </w:r>
          </w:p>
        </w:tc>
        <w:tc>
          <w:tcPr>
            <w:tcW w:w="2390" w:type="dxa"/>
            <w:vMerge w:val="continue"/>
            <w:vAlign w:val="center"/>
          </w:tcPr>
          <w:p>
            <w:pPr>
              <w:widowControl/>
              <w:jc w:val="center"/>
              <w:rPr>
                <w:rFonts w:ascii="仿宋_GB2312" w:hAnsi="仿宋_GB2312" w:eastAsia="仿宋_GB2312" w:cs="Times New Roman"/>
                <w:kern w:val="0"/>
                <w:sz w:val="24"/>
                <w:szCs w:val="24"/>
              </w:rPr>
            </w:pP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Times New Roman"/>
                <w:kern w:val="0"/>
                <w:sz w:val="24"/>
                <w:szCs w:val="24"/>
              </w:rPr>
            </w:pPr>
            <w:r>
              <w:rPr>
                <w:rFonts w:ascii="楷体_GB2312" w:hAnsi="仿宋_GB2312" w:eastAsia="楷体_GB2312" w:cs="楷体_GB2312"/>
                <w:kern w:val="0"/>
                <w:sz w:val="24"/>
                <w:szCs w:val="24"/>
              </w:rPr>
              <w:t>50</w:t>
            </w:r>
          </w:p>
        </w:tc>
        <w:tc>
          <w:tcPr>
            <w:tcW w:w="1475" w:type="dxa"/>
            <w:vMerge w:val="continue"/>
            <w:vAlign w:val="center"/>
          </w:tcPr>
          <w:p>
            <w:pPr>
              <w:widowControl/>
              <w:jc w:val="center"/>
              <w:rPr>
                <w:rFonts w:ascii="楷体_GB2312" w:hAnsi="仿宋_GB2312" w:eastAsia="楷体_GB2312" w:cs="Times New Roman"/>
                <w:spacing w:val="4"/>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pStyle w:val="4"/>
              <w:shd w:val="clear" w:color="auto" w:fill="FFFFFF"/>
              <w:overflowPunct w:val="0"/>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加强人才交流，建立跟班学习、轮岗培训机制，实施以干代训，进一步提高政务公开队伍的专业化水平。</w:t>
            </w:r>
          </w:p>
        </w:tc>
        <w:tc>
          <w:tcPr>
            <w:tcW w:w="2390" w:type="dxa"/>
            <w:vMerge w:val="continue"/>
            <w:vAlign w:val="center"/>
          </w:tcPr>
          <w:p>
            <w:pPr>
              <w:widowControl/>
              <w:jc w:val="center"/>
              <w:rPr>
                <w:rFonts w:ascii="仿宋_GB2312" w:hAnsi="仿宋_GB2312" w:eastAsia="仿宋_GB2312" w:cs="Times New Roman"/>
                <w:kern w:val="0"/>
                <w:sz w:val="24"/>
                <w:szCs w:val="24"/>
              </w:rPr>
            </w:pPr>
          </w:p>
        </w:tc>
        <w:tc>
          <w:tcPr>
            <w:tcW w:w="1379" w:type="dxa"/>
            <w:vMerge w:val="continue"/>
            <w:vAlign w:val="center"/>
          </w:tcPr>
          <w:p>
            <w:pPr>
              <w:widowControl/>
              <w:jc w:val="center"/>
              <w:rPr>
                <w:rFonts w:ascii="仿宋_GB2312" w:hAnsi="仿宋_GB2312"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51</w:t>
            </w:r>
          </w:p>
        </w:tc>
        <w:tc>
          <w:tcPr>
            <w:tcW w:w="1475" w:type="dxa"/>
            <w:vMerge w:val="continue"/>
            <w:vAlign w:val="center"/>
          </w:tcPr>
          <w:p>
            <w:pPr>
              <w:widowControl/>
              <w:jc w:val="center"/>
              <w:rPr>
                <w:rFonts w:ascii="楷体_GB2312" w:hAnsi="仿宋_GB2312" w:eastAsia="楷体_GB2312" w:cs="Times New Roman"/>
                <w:spacing w:val="4"/>
                <w:sz w:val="24"/>
                <w:szCs w:val="24"/>
              </w:rPr>
            </w:pPr>
          </w:p>
        </w:tc>
        <w:tc>
          <w:tcPr>
            <w:tcW w:w="1638" w:type="dxa"/>
            <w:vMerge w:val="restart"/>
            <w:vAlign w:val="center"/>
          </w:tcPr>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强化督查</w:t>
            </w:r>
          </w:p>
          <w:p>
            <w:pPr>
              <w:widowControl/>
              <w:jc w:val="center"/>
              <w:rPr>
                <w:rFonts w:ascii="楷体_GB2312" w:hAnsi="仿宋_GB2312" w:eastAsia="楷体_GB2312" w:cs="Times New Roman"/>
                <w:kern w:val="0"/>
                <w:sz w:val="24"/>
                <w:szCs w:val="24"/>
              </w:rPr>
            </w:pPr>
            <w:r>
              <w:rPr>
                <w:rFonts w:hint="eastAsia" w:ascii="楷体_GB2312" w:hAnsi="仿宋_GB2312" w:eastAsia="楷体_GB2312" w:cs="楷体_GB2312"/>
                <w:kern w:val="0"/>
                <w:sz w:val="24"/>
                <w:szCs w:val="24"/>
              </w:rPr>
              <w:t>考核</w:t>
            </w:r>
          </w:p>
        </w:tc>
        <w:tc>
          <w:tcPr>
            <w:tcW w:w="5675" w:type="dxa"/>
            <w:vAlign w:val="center"/>
          </w:tcPr>
          <w:p>
            <w:pPr>
              <w:widowControl/>
              <w:rPr>
                <w:rFonts w:ascii="仿宋_GB2312" w:hAnsi="仿宋_GB2312" w:eastAsia="仿宋_GB2312" w:cs="Times New Roman"/>
                <w:kern w:val="0"/>
                <w:sz w:val="24"/>
                <w:szCs w:val="24"/>
              </w:rPr>
            </w:pPr>
            <w:r>
              <w:rPr>
                <w:rFonts w:hint="eastAsia" w:ascii="仿宋_GB2312" w:hAnsi="仿宋_GB2312" w:eastAsia="仿宋_GB2312" w:cs="仿宋_GB2312"/>
                <w:sz w:val="24"/>
                <w:szCs w:val="24"/>
              </w:rPr>
              <w:t>区政府办公室定期通报各街道办事处、区政府有关部门政务公开工作开展情况，结合季度成绩评估年度考核，对工作成绩突出的予以表扬，对长期工作落实不到位、问题较多的单位</w:t>
            </w:r>
            <w:r>
              <w:rPr>
                <w:rFonts w:hint="eastAsia" w:ascii="仿宋_GB2312" w:hAnsi="仿宋_GB2312" w:eastAsia="仿宋_GB2312" w:cs="仿宋_GB2312"/>
                <w:spacing w:val="4"/>
                <w:sz w:val="24"/>
                <w:szCs w:val="24"/>
              </w:rPr>
              <w:t>予以通报批评</w:t>
            </w:r>
            <w:r>
              <w:rPr>
                <w:rFonts w:hint="eastAsia" w:ascii="仿宋_GB2312" w:hAnsi="仿宋_GB2312" w:eastAsia="仿宋_GB2312" w:cs="仿宋_GB2312"/>
                <w:sz w:val="24"/>
                <w:szCs w:val="24"/>
              </w:rPr>
              <w:t>，依法依规追责问责，并督促做好整改提升工作。</w:t>
            </w:r>
          </w:p>
        </w:tc>
        <w:tc>
          <w:tcPr>
            <w:tcW w:w="2390" w:type="dxa"/>
            <w:vMerge w:val="restart"/>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区政府办公室</w:t>
            </w:r>
          </w:p>
        </w:tc>
        <w:tc>
          <w:tcPr>
            <w:tcW w:w="1379" w:type="dxa"/>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8" w:type="dxa"/>
            <w:vAlign w:val="center"/>
          </w:tcPr>
          <w:p>
            <w:pPr>
              <w:widowControl/>
              <w:jc w:val="center"/>
              <w:rPr>
                <w:rFonts w:ascii="楷体_GB2312" w:hAnsi="仿宋_GB2312" w:eastAsia="楷体_GB2312" w:cs="楷体_GB2312"/>
                <w:kern w:val="0"/>
                <w:sz w:val="24"/>
                <w:szCs w:val="24"/>
              </w:rPr>
            </w:pPr>
            <w:r>
              <w:rPr>
                <w:rFonts w:ascii="楷体_GB2312" w:hAnsi="仿宋_GB2312" w:eastAsia="楷体_GB2312" w:cs="楷体_GB2312"/>
                <w:kern w:val="0"/>
                <w:sz w:val="24"/>
                <w:szCs w:val="24"/>
              </w:rPr>
              <w:t>52</w:t>
            </w:r>
          </w:p>
        </w:tc>
        <w:tc>
          <w:tcPr>
            <w:tcW w:w="1475" w:type="dxa"/>
            <w:vMerge w:val="continue"/>
            <w:vAlign w:val="center"/>
          </w:tcPr>
          <w:p>
            <w:pPr>
              <w:widowControl/>
              <w:jc w:val="center"/>
              <w:rPr>
                <w:rFonts w:ascii="楷体_GB2312" w:hAnsi="仿宋_GB2312" w:eastAsia="楷体_GB2312" w:cs="Times New Roman"/>
                <w:spacing w:val="4"/>
                <w:sz w:val="24"/>
                <w:szCs w:val="24"/>
              </w:rPr>
            </w:pPr>
          </w:p>
        </w:tc>
        <w:tc>
          <w:tcPr>
            <w:tcW w:w="1638" w:type="dxa"/>
            <w:vMerge w:val="continue"/>
            <w:vAlign w:val="center"/>
          </w:tcPr>
          <w:p>
            <w:pPr>
              <w:widowControl/>
              <w:jc w:val="center"/>
              <w:rPr>
                <w:rFonts w:ascii="楷体_GB2312" w:hAnsi="仿宋_GB2312" w:eastAsia="楷体_GB2312" w:cs="Times New Roman"/>
                <w:kern w:val="0"/>
                <w:sz w:val="24"/>
                <w:szCs w:val="24"/>
              </w:rPr>
            </w:pPr>
          </w:p>
        </w:tc>
        <w:tc>
          <w:tcPr>
            <w:tcW w:w="5675" w:type="dxa"/>
            <w:vAlign w:val="center"/>
          </w:tcPr>
          <w:p>
            <w:pPr>
              <w:pStyle w:val="4"/>
              <w:widowControl/>
              <w:shd w:val="clear" w:color="auto" w:fill="FFFFFF"/>
              <w:spacing w:beforeAutospacing="0" w:afterAutospacing="0"/>
              <w:jc w:val="both"/>
              <w:rPr>
                <w:rFonts w:ascii="仿宋_GB2312" w:hAnsi="仿宋_GB2312" w:eastAsia="仿宋_GB2312" w:cs="Times New Roman"/>
              </w:rPr>
            </w:pPr>
            <w:r>
              <w:rPr>
                <w:rFonts w:hint="eastAsia" w:ascii="仿宋_GB2312" w:hAnsi="仿宋_GB2312" w:eastAsia="仿宋_GB2312" w:cs="仿宋_GB2312"/>
                <w:kern w:val="2"/>
              </w:rPr>
              <w:t>区政府办公室要切实发挥好指导、协调、监督职能，完善本辖区政务公开工作考核体系，优化考核方式，加大日常考核比重，采取符合实际的考核办法，切实提升考核针对性和实效性。</w:t>
            </w:r>
          </w:p>
        </w:tc>
        <w:tc>
          <w:tcPr>
            <w:tcW w:w="2390" w:type="dxa"/>
            <w:vMerge w:val="continue"/>
            <w:vAlign w:val="center"/>
          </w:tcPr>
          <w:p>
            <w:pPr>
              <w:widowControl/>
              <w:jc w:val="center"/>
              <w:rPr>
                <w:rFonts w:ascii="仿宋_GB2312" w:hAnsi="仿宋_GB2312" w:eastAsia="仿宋_GB2312" w:cs="Times New Roman"/>
                <w:kern w:val="0"/>
                <w:sz w:val="24"/>
                <w:szCs w:val="24"/>
              </w:rPr>
            </w:pPr>
          </w:p>
        </w:tc>
        <w:tc>
          <w:tcPr>
            <w:tcW w:w="1379" w:type="dxa"/>
            <w:vAlign w:val="center"/>
          </w:tcPr>
          <w:p>
            <w:pPr>
              <w:widowControl/>
              <w:jc w:val="center"/>
              <w:rPr>
                <w:rFonts w:ascii="仿宋_GB2312" w:hAnsi="仿宋_GB2312" w:eastAsia="仿宋_GB2312" w:cs="Times New Roman"/>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月底前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ZDBiMjcwOTlmNjg3NjU0ODBkYjQ2NWMwYTdiMmQifQ=="/>
  </w:docVars>
  <w:rsids>
    <w:rsidRoot w:val="00000000"/>
    <w:rsid w:val="107E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100" w:afterAutospacing="1"/>
    </w:pPr>
    <w:rPr>
      <w:rFonts w:ascii="Arial" w:hAnsi="Arial" w:cs="Arial"/>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应如是</cp:lastModifiedBy>
  <dcterms:modified xsi:type="dcterms:W3CDTF">2023-08-03T06:31:59Z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F7747B7DC6EE47D2A2E87935295F7D5D_12</vt:lpwstr>
  </property>
</Properties>
</file>