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3F4116" w14:textId="77777777" w:rsidR="00F41592" w:rsidRDefault="00F41592">
      <w:pPr>
        <w:jc w:val="center"/>
        <w:rPr>
          <w:rFonts w:ascii="宋体" w:eastAsia="宋体" w:hAnsi="宋体" w:cs="宋体"/>
          <w:color w:val="000000" w:themeColor="text1"/>
          <w:sz w:val="44"/>
          <w:szCs w:val="44"/>
        </w:rPr>
      </w:pPr>
    </w:p>
    <w:p w14:paraId="77B0BF3B" w14:textId="77777777" w:rsidR="00F41592" w:rsidRDefault="00F41592">
      <w:pPr>
        <w:jc w:val="center"/>
        <w:rPr>
          <w:rFonts w:ascii="宋体" w:eastAsia="宋体" w:hAnsi="宋体" w:cs="宋体"/>
          <w:color w:val="000000" w:themeColor="text1"/>
          <w:sz w:val="44"/>
          <w:szCs w:val="44"/>
        </w:rPr>
      </w:pPr>
    </w:p>
    <w:p w14:paraId="47281864" w14:textId="4360B800" w:rsidR="00F41592" w:rsidRPr="00150CB0" w:rsidRDefault="00A27AC2" w:rsidP="00DB3E57">
      <w:pPr>
        <w:adjustRightInd w:val="0"/>
        <w:snapToGrid w:val="0"/>
        <w:spacing w:line="660" w:lineRule="exact"/>
        <w:jc w:val="center"/>
        <w:rPr>
          <w:rFonts w:ascii="方正小标宋简体" w:eastAsia="方正小标宋简体" w:hAnsi="宋体" w:cs="宋体"/>
          <w:color w:val="000000" w:themeColor="text1"/>
          <w:sz w:val="44"/>
          <w:szCs w:val="44"/>
        </w:rPr>
      </w:pPr>
      <w:r w:rsidRPr="00A27AC2">
        <w:rPr>
          <w:rFonts w:ascii="方正小标宋简体" w:eastAsia="方正小标宋简体" w:hAnsi="宋体" w:cs="宋体" w:hint="eastAsia"/>
          <w:color w:val="000000" w:themeColor="text1"/>
          <w:sz w:val="44"/>
          <w:szCs w:val="44"/>
        </w:rPr>
        <w:t>济南市公共消火栓管理办法</w:t>
      </w:r>
    </w:p>
    <w:p w14:paraId="29662A57" w14:textId="77777777" w:rsidR="00A27AC2" w:rsidRPr="00A27AC2" w:rsidRDefault="00A27AC2" w:rsidP="00A27AC2">
      <w:pPr>
        <w:overflowPunct w:val="0"/>
        <w:adjustRightInd w:val="0"/>
        <w:snapToGrid w:val="0"/>
        <w:spacing w:line="580" w:lineRule="exact"/>
        <w:jc w:val="center"/>
        <w:rPr>
          <w:rFonts w:ascii="楷体_GB2312" w:eastAsia="楷体_GB2312" w:hAnsi="宋体" w:cs="宋体" w:hint="eastAsia"/>
          <w:color w:val="000000" w:themeColor="text1"/>
        </w:rPr>
      </w:pPr>
      <w:r w:rsidRPr="00A27AC2">
        <w:rPr>
          <w:rFonts w:ascii="楷体_GB2312" w:eastAsia="楷体_GB2312" w:hAnsi="宋体" w:cs="宋体" w:hint="eastAsia"/>
          <w:color w:val="000000" w:themeColor="text1"/>
        </w:rPr>
        <w:t>（2002年10月11日济南市人民政府令第195号公布</w:t>
      </w:r>
    </w:p>
    <w:p w14:paraId="4F73103D" w14:textId="77777777" w:rsidR="00A27AC2" w:rsidRPr="00A27AC2" w:rsidRDefault="00A27AC2" w:rsidP="00A27AC2">
      <w:pPr>
        <w:overflowPunct w:val="0"/>
        <w:adjustRightInd w:val="0"/>
        <w:snapToGrid w:val="0"/>
        <w:spacing w:line="580" w:lineRule="exact"/>
        <w:jc w:val="center"/>
        <w:rPr>
          <w:rFonts w:ascii="楷体_GB2312" w:eastAsia="楷体_GB2312" w:hAnsi="宋体" w:cs="宋体" w:hint="eastAsia"/>
          <w:color w:val="000000" w:themeColor="text1"/>
        </w:rPr>
      </w:pPr>
      <w:r w:rsidRPr="00A27AC2">
        <w:rPr>
          <w:rFonts w:ascii="楷体_GB2312" w:eastAsia="楷体_GB2312" w:hAnsi="宋体" w:cs="宋体" w:hint="eastAsia"/>
          <w:color w:val="000000" w:themeColor="text1"/>
        </w:rPr>
        <w:t>2025年11月12日济南市人民政府令第298号修订</w:t>
      </w:r>
    </w:p>
    <w:p w14:paraId="683C9835" w14:textId="0C42DCB0" w:rsidR="00F41592" w:rsidRPr="00150CB0" w:rsidRDefault="00A27AC2" w:rsidP="00A27AC2">
      <w:pPr>
        <w:overflowPunct w:val="0"/>
        <w:adjustRightInd w:val="0"/>
        <w:snapToGrid w:val="0"/>
        <w:spacing w:line="580" w:lineRule="exact"/>
        <w:jc w:val="center"/>
        <w:rPr>
          <w:rFonts w:ascii="楷体_GB2312" w:eastAsia="楷体_GB2312" w:hAnsi="宋体" w:cs="宋体"/>
          <w:color w:val="000000" w:themeColor="text1"/>
        </w:rPr>
      </w:pPr>
      <w:r w:rsidRPr="00A27AC2">
        <w:rPr>
          <w:rFonts w:ascii="楷体_GB2312" w:eastAsia="楷体_GB2312" w:hAnsi="宋体" w:cs="宋体" w:hint="eastAsia"/>
          <w:color w:val="000000" w:themeColor="text1"/>
        </w:rPr>
        <w:t>自2026年1月1日起施行）</w:t>
      </w:r>
    </w:p>
    <w:p w14:paraId="45DD5AAD" w14:textId="77777777" w:rsidR="002805EC" w:rsidRPr="00150CB0" w:rsidRDefault="002805EC" w:rsidP="002805EC">
      <w:pPr>
        <w:pStyle w:val="a0"/>
        <w:ind w:firstLine="628"/>
        <w:rPr>
          <w:color w:val="000000" w:themeColor="text1"/>
        </w:rPr>
      </w:pPr>
    </w:p>
    <w:p w14:paraId="5F089B68" w14:textId="36F9A703"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68384A">
        <w:rPr>
          <w:rFonts w:ascii="黑体" w:eastAsia="黑体" w:hAnsi="黑体" w:hint="eastAsia"/>
          <w:color w:val="000000" w:themeColor="text1"/>
        </w:rPr>
        <w:t>第一条</w:t>
      </w:r>
      <w:r>
        <w:rPr>
          <w:rFonts w:ascii="仿宋_GB2312" w:hAnsi="黑体" w:hint="eastAsia"/>
          <w:color w:val="000000" w:themeColor="text1"/>
        </w:rPr>
        <w:t xml:space="preserve">　</w:t>
      </w:r>
      <w:r w:rsidRPr="00A27AC2">
        <w:rPr>
          <w:rFonts w:ascii="仿宋_GB2312" w:hAnsi="黑体" w:hint="eastAsia"/>
          <w:color w:val="000000" w:themeColor="text1"/>
        </w:rPr>
        <w:t>为了加强公共消火栓管理，保障消防救援用水，保护</w:t>
      </w:r>
      <w:r w:rsidRPr="00AA2399">
        <w:rPr>
          <w:rFonts w:ascii="仿宋_GB2312" w:hAnsi="黑体" w:hint="eastAsia"/>
          <w:color w:val="000000" w:themeColor="text1"/>
          <w:spacing w:val="-6"/>
        </w:rPr>
        <w:t>人身、财产安全，维护公共安全，根据《中华人民共和国消防法》《山东省消防条例》等法律、法规，结合本市实际，制定本办法。</w:t>
      </w:r>
    </w:p>
    <w:p w14:paraId="683ECDD4" w14:textId="3E1ECEEC"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A2399">
        <w:rPr>
          <w:rFonts w:ascii="黑体" w:eastAsia="黑体" w:hAnsi="黑体" w:hint="eastAsia"/>
          <w:color w:val="000000" w:themeColor="text1"/>
        </w:rPr>
        <w:t>第二条</w:t>
      </w:r>
      <w:r w:rsidR="0068384A">
        <w:rPr>
          <w:rFonts w:ascii="仿宋_GB2312" w:hAnsi="黑体" w:hint="eastAsia"/>
          <w:color w:val="000000" w:themeColor="text1"/>
        </w:rPr>
        <w:t xml:space="preserve">　</w:t>
      </w:r>
      <w:r w:rsidRPr="00A27AC2">
        <w:rPr>
          <w:rFonts w:ascii="仿宋_GB2312" w:hAnsi="黑体" w:hint="eastAsia"/>
          <w:color w:val="000000" w:themeColor="text1"/>
        </w:rPr>
        <w:t>本市行政区域内公共消火栓的规划、建设、使用、维护及监督管理适用本办法。</w:t>
      </w:r>
    </w:p>
    <w:p w14:paraId="4C6B312E" w14:textId="23EF8623"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27AC2">
        <w:rPr>
          <w:rFonts w:ascii="仿宋_GB2312" w:hAnsi="黑体" w:hint="eastAsia"/>
          <w:color w:val="000000" w:themeColor="text1"/>
        </w:rPr>
        <w:t>本办法所称公共消火栓，是指与城乡公共供水管网连接，设置于单位、居民住宅区等用水总表或总阀以外的，由阀门、出水口和栓体等组成的，专门用于应急救援的消防供水装置及其附属设备，包括城镇公共消火栓和农村公共消火栓。</w:t>
      </w:r>
    </w:p>
    <w:p w14:paraId="474A9285" w14:textId="77777777"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27AC2">
        <w:rPr>
          <w:rFonts w:ascii="仿宋_GB2312" w:hAnsi="黑体" w:hint="eastAsia"/>
          <w:color w:val="000000" w:themeColor="text1"/>
        </w:rPr>
        <w:t>单位、居民住宅区配建与公共供水管网连接的室外消火栓，由所在单位或者物业服务人依照《中华人民共和国消防法》履行日常管理、维护保养职责。</w:t>
      </w:r>
    </w:p>
    <w:p w14:paraId="12E3C5DF" w14:textId="3EF50302"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A2399">
        <w:rPr>
          <w:rFonts w:ascii="黑体" w:eastAsia="黑体" w:hAnsi="黑体" w:hint="eastAsia"/>
          <w:color w:val="000000" w:themeColor="text1"/>
        </w:rPr>
        <w:t>第三条</w:t>
      </w:r>
      <w:r w:rsidR="0068384A">
        <w:rPr>
          <w:rFonts w:ascii="仿宋_GB2312" w:hAnsi="黑体" w:hint="eastAsia"/>
          <w:color w:val="000000" w:themeColor="text1"/>
        </w:rPr>
        <w:t xml:space="preserve">　</w:t>
      </w:r>
      <w:r w:rsidRPr="00A27AC2">
        <w:rPr>
          <w:rFonts w:ascii="仿宋_GB2312" w:hAnsi="黑体" w:hint="eastAsia"/>
          <w:color w:val="000000" w:themeColor="text1"/>
        </w:rPr>
        <w:t>区县人民政府应当加强对本辖区公共消火栓管理工作的组织领导，协调解决公共消火栓管理工作中的重大问题。</w:t>
      </w:r>
    </w:p>
    <w:p w14:paraId="472AAF6A" w14:textId="77777777"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27AC2">
        <w:rPr>
          <w:rFonts w:ascii="仿宋_GB2312" w:hAnsi="黑体" w:hint="eastAsia"/>
          <w:color w:val="000000" w:themeColor="text1"/>
        </w:rPr>
        <w:lastRenderedPageBreak/>
        <w:t>镇人民政府、街道办事处应当按照职责做好公共消火栓的相关管理工作。</w:t>
      </w:r>
    </w:p>
    <w:p w14:paraId="4B984036" w14:textId="5881444F"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A2399">
        <w:rPr>
          <w:rFonts w:ascii="黑体" w:eastAsia="黑体" w:hAnsi="黑体" w:hint="eastAsia"/>
          <w:color w:val="000000" w:themeColor="text1"/>
        </w:rPr>
        <w:t>第四条</w:t>
      </w:r>
      <w:r w:rsidR="0068384A">
        <w:rPr>
          <w:rFonts w:ascii="仿宋_GB2312" w:hAnsi="黑体" w:hint="eastAsia"/>
          <w:color w:val="000000" w:themeColor="text1"/>
        </w:rPr>
        <w:t xml:space="preserve">　</w:t>
      </w:r>
      <w:r w:rsidRPr="00A27AC2">
        <w:rPr>
          <w:rFonts w:ascii="仿宋_GB2312" w:hAnsi="黑体" w:hint="eastAsia"/>
          <w:color w:val="000000" w:themeColor="text1"/>
        </w:rPr>
        <w:t>消防救援部门负责对公共消火栓维护和管理工作实施监督。</w:t>
      </w:r>
    </w:p>
    <w:p w14:paraId="2AE43521" w14:textId="77777777"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27AC2">
        <w:rPr>
          <w:rFonts w:ascii="仿宋_GB2312" w:hAnsi="黑体" w:hint="eastAsia"/>
          <w:color w:val="000000" w:themeColor="text1"/>
        </w:rPr>
        <w:t>城乡水</w:t>
      </w:r>
      <w:proofErr w:type="gramStart"/>
      <w:r w:rsidRPr="00A27AC2">
        <w:rPr>
          <w:rFonts w:ascii="仿宋_GB2312" w:hAnsi="黑体" w:hint="eastAsia"/>
          <w:color w:val="000000" w:themeColor="text1"/>
        </w:rPr>
        <w:t>务</w:t>
      </w:r>
      <w:proofErr w:type="gramEnd"/>
      <w:r w:rsidRPr="00A27AC2">
        <w:rPr>
          <w:rFonts w:ascii="仿宋_GB2312" w:hAnsi="黑体" w:hint="eastAsia"/>
          <w:color w:val="000000" w:themeColor="text1"/>
        </w:rPr>
        <w:t>部门负责组织供水单位按照消防专项规划和技术标准落实公共消火栓及供水管网的建设和维护工作，对已建公共消火栓不符合技术标准的，组织实施补建。</w:t>
      </w:r>
    </w:p>
    <w:p w14:paraId="0FD700D8" w14:textId="77777777"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27AC2">
        <w:rPr>
          <w:rFonts w:ascii="仿宋_GB2312" w:hAnsi="黑体" w:hint="eastAsia"/>
          <w:color w:val="000000" w:themeColor="text1"/>
        </w:rPr>
        <w:t>财政部门负责将公共消火栓建设与维护保养所需经费列入同级财政预算。</w:t>
      </w:r>
    </w:p>
    <w:p w14:paraId="46480761" w14:textId="77777777"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27AC2">
        <w:rPr>
          <w:rFonts w:ascii="仿宋_GB2312" w:hAnsi="黑体" w:hint="eastAsia"/>
          <w:color w:val="000000" w:themeColor="text1"/>
        </w:rPr>
        <w:t>发展和改革、公安、自然资源和规划、住房和城乡建设、城市管理、城乡交通运输、园林和林业绿化、文化和旅游等部门应当按照职责做好公共消火栓管理的相关工作。</w:t>
      </w:r>
    </w:p>
    <w:p w14:paraId="544FF4D2" w14:textId="722669B5"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A2399">
        <w:rPr>
          <w:rFonts w:ascii="黑体" w:eastAsia="黑体" w:hAnsi="黑体" w:hint="eastAsia"/>
          <w:color w:val="000000" w:themeColor="text1"/>
        </w:rPr>
        <w:t>第五条</w:t>
      </w:r>
      <w:r w:rsidR="0068384A">
        <w:rPr>
          <w:rFonts w:ascii="仿宋_GB2312" w:hAnsi="黑体" w:hint="eastAsia"/>
          <w:color w:val="000000" w:themeColor="text1"/>
        </w:rPr>
        <w:t xml:space="preserve">　</w:t>
      </w:r>
      <w:r w:rsidRPr="00A27AC2">
        <w:rPr>
          <w:rFonts w:ascii="仿宋_GB2312" w:hAnsi="黑体" w:hint="eastAsia"/>
          <w:color w:val="000000" w:themeColor="text1"/>
        </w:rPr>
        <w:t>消防救援部门会同自然资源和规划等部门编制消防专项规划时，应当明确公共消火栓的布局、设置及用水量、水压等内容。</w:t>
      </w:r>
    </w:p>
    <w:p w14:paraId="1A6FFB4D" w14:textId="77777777"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27AC2">
        <w:rPr>
          <w:rFonts w:ascii="仿宋_GB2312" w:hAnsi="黑体" w:hint="eastAsia"/>
          <w:color w:val="000000" w:themeColor="text1"/>
        </w:rPr>
        <w:t>消防专项规划中涉及空间管控的相关内容应当纳入国土空间规划，并与城市更新、供水、交通等相关专项规划相衔接。</w:t>
      </w:r>
    </w:p>
    <w:p w14:paraId="550878BC" w14:textId="77777777"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27AC2">
        <w:rPr>
          <w:rFonts w:ascii="仿宋_GB2312" w:hAnsi="黑体" w:hint="eastAsia"/>
          <w:color w:val="000000" w:themeColor="text1"/>
        </w:rPr>
        <w:t>城乡交通运输、城乡水</w:t>
      </w:r>
      <w:proofErr w:type="gramStart"/>
      <w:r w:rsidRPr="00A27AC2">
        <w:rPr>
          <w:rFonts w:ascii="仿宋_GB2312" w:hAnsi="黑体" w:hint="eastAsia"/>
          <w:color w:val="000000" w:themeColor="text1"/>
        </w:rPr>
        <w:t>务</w:t>
      </w:r>
      <w:proofErr w:type="gramEnd"/>
      <w:r w:rsidRPr="00A27AC2">
        <w:rPr>
          <w:rFonts w:ascii="仿宋_GB2312" w:hAnsi="黑体" w:hint="eastAsia"/>
          <w:color w:val="000000" w:themeColor="text1"/>
        </w:rPr>
        <w:t>部门在编制城乡道路、供水等专项规划时，涉及公共消火栓布局、设置等内容的，应当征求消防救援部门的意见。</w:t>
      </w:r>
    </w:p>
    <w:p w14:paraId="410CB43D" w14:textId="77777777"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27AC2">
        <w:rPr>
          <w:rFonts w:ascii="仿宋_GB2312" w:hAnsi="黑体" w:hint="eastAsia"/>
          <w:color w:val="000000" w:themeColor="text1"/>
        </w:rPr>
        <w:t>镇人民政府组织编制村庄规划时，应当根据实际对农村公共</w:t>
      </w:r>
      <w:r w:rsidRPr="00A27AC2">
        <w:rPr>
          <w:rFonts w:ascii="仿宋_GB2312" w:hAnsi="黑体" w:hint="eastAsia"/>
          <w:color w:val="000000" w:themeColor="text1"/>
        </w:rPr>
        <w:lastRenderedPageBreak/>
        <w:t>消火栓等消防设施布局、设置</w:t>
      </w:r>
      <w:proofErr w:type="gramStart"/>
      <w:r w:rsidRPr="00A27AC2">
        <w:rPr>
          <w:rFonts w:ascii="仿宋_GB2312" w:hAnsi="黑体" w:hint="eastAsia"/>
          <w:color w:val="000000" w:themeColor="text1"/>
        </w:rPr>
        <w:t>作出</w:t>
      </w:r>
      <w:proofErr w:type="gramEnd"/>
      <w:r w:rsidRPr="00A27AC2">
        <w:rPr>
          <w:rFonts w:ascii="仿宋_GB2312" w:hAnsi="黑体" w:hint="eastAsia"/>
          <w:color w:val="000000" w:themeColor="text1"/>
        </w:rPr>
        <w:t>具体安排。</w:t>
      </w:r>
    </w:p>
    <w:p w14:paraId="1F6B703D" w14:textId="46B22AE2"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A2399">
        <w:rPr>
          <w:rFonts w:ascii="黑体" w:eastAsia="黑体" w:hAnsi="黑体" w:hint="eastAsia"/>
          <w:color w:val="000000" w:themeColor="text1"/>
        </w:rPr>
        <w:t>第六条</w:t>
      </w:r>
      <w:r w:rsidR="0068384A">
        <w:rPr>
          <w:rFonts w:ascii="仿宋_GB2312" w:hAnsi="黑体" w:hint="eastAsia"/>
          <w:color w:val="000000" w:themeColor="text1"/>
        </w:rPr>
        <w:t xml:space="preserve">　</w:t>
      </w:r>
      <w:r w:rsidRPr="00A27AC2">
        <w:rPr>
          <w:rFonts w:ascii="仿宋_GB2312" w:hAnsi="黑体" w:hint="eastAsia"/>
          <w:color w:val="000000" w:themeColor="text1"/>
        </w:rPr>
        <w:t>公共消火栓及其供水管线的设计、建设、安装及维护管理应当符合消防技术标准的要求，符合防冻、抗压要求。</w:t>
      </w:r>
    </w:p>
    <w:p w14:paraId="77BD9319" w14:textId="77777777"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27AC2">
        <w:rPr>
          <w:rFonts w:ascii="仿宋_GB2312" w:hAnsi="黑体" w:hint="eastAsia"/>
          <w:color w:val="000000" w:themeColor="text1"/>
        </w:rPr>
        <w:t>绿化带内的公共消火栓应当设置醒目标识，周边</w:t>
      </w:r>
      <w:proofErr w:type="gramStart"/>
      <w:r w:rsidRPr="00A27AC2">
        <w:rPr>
          <w:rFonts w:ascii="仿宋_GB2312" w:hAnsi="黑体" w:hint="eastAsia"/>
          <w:color w:val="000000" w:themeColor="text1"/>
        </w:rPr>
        <w:t>绿植不得</w:t>
      </w:r>
      <w:proofErr w:type="gramEnd"/>
      <w:r w:rsidRPr="00A27AC2">
        <w:rPr>
          <w:rFonts w:ascii="仿宋_GB2312" w:hAnsi="黑体" w:hint="eastAsia"/>
          <w:color w:val="000000" w:themeColor="text1"/>
        </w:rPr>
        <w:t>影响公共消火栓的使用。</w:t>
      </w:r>
    </w:p>
    <w:p w14:paraId="3EC1161A" w14:textId="77777777"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27AC2">
        <w:rPr>
          <w:rFonts w:ascii="仿宋_GB2312" w:hAnsi="黑体" w:hint="eastAsia"/>
          <w:color w:val="000000" w:themeColor="text1"/>
        </w:rPr>
        <w:t>鼓励将公共消火栓建设纳入智慧城市、数字城市、物联网管理系统，推动使用配备压力监测、漏水报警、电子标签等装置的智能消火栓。</w:t>
      </w:r>
    </w:p>
    <w:p w14:paraId="1079AC34" w14:textId="77777777"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27AC2">
        <w:rPr>
          <w:rFonts w:ascii="仿宋_GB2312" w:hAnsi="黑体" w:hint="eastAsia"/>
          <w:color w:val="000000" w:themeColor="text1"/>
        </w:rPr>
        <w:t>鼓励在商业密集区、古建筑保护群、历史文化街区、消防车无法通行的区域和建筑耐火等级低、火灾危险性大的区域，高于国家标准建设公共消火栓。</w:t>
      </w:r>
    </w:p>
    <w:p w14:paraId="26D008AE" w14:textId="3C23E9C2"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A2399">
        <w:rPr>
          <w:rFonts w:ascii="黑体" w:eastAsia="黑体" w:hAnsi="黑体" w:hint="eastAsia"/>
          <w:color w:val="000000" w:themeColor="text1"/>
        </w:rPr>
        <w:t>第七条</w:t>
      </w:r>
      <w:r w:rsidR="0068384A">
        <w:rPr>
          <w:rFonts w:ascii="仿宋_GB2312" w:hAnsi="黑体" w:hint="eastAsia"/>
          <w:color w:val="000000" w:themeColor="text1"/>
        </w:rPr>
        <w:t xml:space="preserve">　</w:t>
      </w:r>
      <w:r w:rsidRPr="00A27AC2">
        <w:rPr>
          <w:rFonts w:ascii="仿宋_GB2312" w:hAnsi="黑体" w:hint="eastAsia"/>
          <w:color w:val="000000" w:themeColor="text1"/>
        </w:rPr>
        <w:t>公共消火栓由道路建设单位组织建设或者委托供水企业建设，与建设工程同步设计、同步施工、同步验收。</w:t>
      </w:r>
    </w:p>
    <w:p w14:paraId="15E9C11F" w14:textId="77777777"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27AC2">
        <w:rPr>
          <w:rFonts w:ascii="仿宋_GB2312" w:hAnsi="黑体" w:hint="eastAsia"/>
          <w:color w:val="000000" w:themeColor="text1"/>
        </w:rPr>
        <w:t>验收合格后，按照属地管理原则，建设单位应当将公共消火栓数量、分布图、安装位置（含定位坐标）、型号等相关资料移送城乡水</w:t>
      </w:r>
      <w:proofErr w:type="gramStart"/>
      <w:r w:rsidRPr="00A27AC2">
        <w:rPr>
          <w:rFonts w:ascii="仿宋_GB2312" w:hAnsi="黑体" w:hint="eastAsia"/>
          <w:color w:val="000000" w:themeColor="text1"/>
        </w:rPr>
        <w:t>务</w:t>
      </w:r>
      <w:proofErr w:type="gramEnd"/>
      <w:r w:rsidRPr="00A27AC2">
        <w:rPr>
          <w:rFonts w:ascii="仿宋_GB2312" w:hAnsi="黑体" w:hint="eastAsia"/>
          <w:color w:val="000000" w:themeColor="text1"/>
        </w:rPr>
        <w:t>部门和消防救援部门。</w:t>
      </w:r>
    </w:p>
    <w:p w14:paraId="43A287CC" w14:textId="48CB8028"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A2399">
        <w:rPr>
          <w:rFonts w:ascii="黑体" w:eastAsia="黑体" w:hAnsi="黑体" w:hint="eastAsia"/>
          <w:color w:val="000000" w:themeColor="text1"/>
        </w:rPr>
        <w:t>第八条</w:t>
      </w:r>
      <w:r w:rsidR="0068384A">
        <w:rPr>
          <w:rFonts w:ascii="仿宋_GB2312" w:hAnsi="黑体" w:hint="eastAsia"/>
          <w:color w:val="000000" w:themeColor="text1"/>
        </w:rPr>
        <w:t xml:space="preserve">　</w:t>
      </w:r>
      <w:r w:rsidRPr="00A27AC2">
        <w:rPr>
          <w:rFonts w:ascii="仿宋_GB2312" w:hAnsi="黑体" w:hint="eastAsia"/>
          <w:color w:val="000000" w:themeColor="text1"/>
        </w:rPr>
        <w:t>已建市政道路以及符合条件的其他道路，未配建公共消火栓的，或者建设不足、不符合消防技术标准、不适应实际需要的，消防救援机构应当会同城乡水</w:t>
      </w:r>
      <w:proofErr w:type="gramStart"/>
      <w:r w:rsidRPr="00A27AC2">
        <w:rPr>
          <w:rFonts w:ascii="仿宋_GB2312" w:hAnsi="黑体" w:hint="eastAsia"/>
          <w:color w:val="000000" w:themeColor="text1"/>
        </w:rPr>
        <w:t>务</w:t>
      </w:r>
      <w:proofErr w:type="gramEnd"/>
      <w:r w:rsidRPr="00A27AC2">
        <w:rPr>
          <w:rFonts w:ascii="仿宋_GB2312" w:hAnsi="黑体" w:hint="eastAsia"/>
          <w:color w:val="000000" w:themeColor="text1"/>
        </w:rPr>
        <w:t>部门书面报告本级人民政府；经本级人民政府同意后，由城乡水</w:t>
      </w:r>
      <w:proofErr w:type="gramStart"/>
      <w:r w:rsidRPr="00A27AC2">
        <w:rPr>
          <w:rFonts w:ascii="仿宋_GB2312" w:hAnsi="黑体" w:hint="eastAsia"/>
          <w:color w:val="000000" w:themeColor="text1"/>
        </w:rPr>
        <w:t>务</w:t>
      </w:r>
      <w:proofErr w:type="gramEnd"/>
      <w:r w:rsidRPr="00A27AC2">
        <w:rPr>
          <w:rFonts w:ascii="仿宋_GB2312" w:hAnsi="黑体" w:hint="eastAsia"/>
          <w:color w:val="000000" w:themeColor="text1"/>
        </w:rPr>
        <w:t>部门组织进行增建、补建、配置或者技术改造。</w:t>
      </w:r>
    </w:p>
    <w:p w14:paraId="4D40662A" w14:textId="42005FB7"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A2399">
        <w:rPr>
          <w:rFonts w:ascii="黑体" w:eastAsia="黑体" w:hAnsi="黑体" w:hint="eastAsia"/>
          <w:color w:val="000000" w:themeColor="text1"/>
        </w:rPr>
        <w:lastRenderedPageBreak/>
        <w:t>第九条</w:t>
      </w:r>
      <w:r w:rsidR="0068384A">
        <w:rPr>
          <w:rFonts w:ascii="仿宋_GB2312" w:hAnsi="黑体" w:hint="eastAsia"/>
          <w:color w:val="000000" w:themeColor="text1"/>
        </w:rPr>
        <w:t xml:space="preserve">　</w:t>
      </w:r>
      <w:r w:rsidRPr="00A27AC2">
        <w:rPr>
          <w:rFonts w:ascii="仿宋_GB2312" w:hAnsi="黑体" w:hint="eastAsia"/>
          <w:color w:val="000000" w:themeColor="text1"/>
        </w:rPr>
        <w:t>因道路改、扩建等工程建设确需改建、拆除或者迁移公共消火栓，可能影响灭火救援的，建设单位应当提前24小时告知当地消防救援部门。</w:t>
      </w:r>
    </w:p>
    <w:p w14:paraId="3A9C36EB" w14:textId="2364B983"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A2399">
        <w:rPr>
          <w:rFonts w:ascii="黑体" w:eastAsia="黑体" w:hAnsi="黑体" w:hint="eastAsia"/>
          <w:color w:val="000000" w:themeColor="text1"/>
        </w:rPr>
        <w:t>第十条</w:t>
      </w:r>
      <w:r w:rsidR="0068384A">
        <w:rPr>
          <w:rFonts w:ascii="仿宋_GB2312" w:hAnsi="黑体" w:hint="eastAsia"/>
          <w:color w:val="000000" w:themeColor="text1"/>
        </w:rPr>
        <w:t xml:space="preserve">　</w:t>
      </w:r>
      <w:r w:rsidRPr="00A27AC2">
        <w:rPr>
          <w:rFonts w:ascii="仿宋_GB2312" w:hAnsi="黑体" w:hint="eastAsia"/>
          <w:color w:val="000000" w:themeColor="text1"/>
        </w:rPr>
        <w:t>农村地区有集中供水管网的应当建设公共消火栓，重点覆盖街道（镇）驻地、村庄、古建筑群、森林防火等区域。</w:t>
      </w:r>
    </w:p>
    <w:p w14:paraId="15F3B129" w14:textId="77777777"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27AC2">
        <w:rPr>
          <w:rFonts w:ascii="仿宋_GB2312" w:hAnsi="黑体" w:hint="eastAsia"/>
          <w:color w:val="000000" w:themeColor="text1"/>
        </w:rPr>
        <w:t>无公共消火栓或者灭火救援给水不足的，镇人民政府、街道办事处应当设置消防水池，或者利用水质、水量有保证的其他水源设置满足消防车取水的设施，并将设置地点、数量等情况告知当地消防救援部门。</w:t>
      </w:r>
    </w:p>
    <w:p w14:paraId="40E038ED" w14:textId="6A2D9BBF"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A2399">
        <w:rPr>
          <w:rFonts w:ascii="黑体" w:eastAsia="黑体" w:hAnsi="黑体" w:hint="eastAsia"/>
          <w:color w:val="000000" w:themeColor="text1"/>
        </w:rPr>
        <w:t>第十一条</w:t>
      </w:r>
      <w:r w:rsidR="0068384A">
        <w:rPr>
          <w:rFonts w:ascii="仿宋_GB2312" w:hAnsi="黑体" w:hint="eastAsia"/>
          <w:color w:val="000000" w:themeColor="text1"/>
        </w:rPr>
        <w:t xml:space="preserve">　</w:t>
      </w:r>
      <w:r w:rsidRPr="00A27AC2">
        <w:rPr>
          <w:rFonts w:ascii="仿宋_GB2312" w:hAnsi="黑体" w:hint="eastAsia"/>
          <w:color w:val="000000" w:themeColor="text1"/>
        </w:rPr>
        <w:t>公共消火栓专供应急救援、火灾预防和日常消防训练使用，任何单位和个人不得有下列行为：</w:t>
      </w:r>
    </w:p>
    <w:p w14:paraId="74F4BD6D" w14:textId="77777777"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27AC2">
        <w:rPr>
          <w:rFonts w:ascii="仿宋_GB2312" w:hAnsi="黑体" w:hint="eastAsia"/>
          <w:color w:val="000000" w:themeColor="text1"/>
        </w:rPr>
        <w:t>（一）损坏、挪用或者擅自拆除、停用公共消火栓；</w:t>
      </w:r>
    </w:p>
    <w:p w14:paraId="6C13FCED" w14:textId="77777777"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27AC2">
        <w:rPr>
          <w:rFonts w:ascii="仿宋_GB2312" w:hAnsi="黑体" w:hint="eastAsia"/>
          <w:color w:val="000000" w:themeColor="text1"/>
        </w:rPr>
        <w:t>（二）埋压、圈占、遮挡公共消火栓；</w:t>
      </w:r>
    </w:p>
    <w:p w14:paraId="55DAF387" w14:textId="77777777"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27AC2">
        <w:rPr>
          <w:rFonts w:ascii="仿宋_GB2312" w:hAnsi="黑体" w:hint="eastAsia"/>
          <w:color w:val="000000" w:themeColor="text1"/>
        </w:rPr>
        <w:t>（三）在公共消火栓5米范围内堆物、设摊、停车和建造建（构）筑物等影响其使用的；</w:t>
      </w:r>
    </w:p>
    <w:p w14:paraId="4BBD5D61" w14:textId="77777777"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27AC2">
        <w:rPr>
          <w:rFonts w:ascii="仿宋_GB2312" w:hAnsi="黑体" w:hint="eastAsia"/>
          <w:color w:val="000000" w:themeColor="text1"/>
        </w:rPr>
        <w:t>（四）擅自开启公共消火栓取水；</w:t>
      </w:r>
    </w:p>
    <w:p w14:paraId="3AB43C30" w14:textId="77777777"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27AC2">
        <w:rPr>
          <w:rFonts w:ascii="仿宋_GB2312" w:hAnsi="黑体" w:hint="eastAsia"/>
          <w:color w:val="000000" w:themeColor="text1"/>
        </w:rPr>
        <w:t>（五）其他妨害公共消火栓使用的行为。</w:t>
      </w:r>
    </w:p>
    <w:p w14:paraId="2F75D122" w14:textId="72BCE153"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A2399">
        <w:rPr>
          <w:rFonts w:ascii="黑体" w:eastAsia="黑体" w:hAnsi="黑体" w:hint="eastAsia"/>
          <w:color w:val="000000" w:themeColor="text1"/>
        </w:rPr>
        <w:t>第十二条</w:t>
      </w:r>
      <w:r w:rsidR="0068384A">
        <w:rPr>
          <w:rFonts w:ascii="仿宋_GB2312" w:hAnsi="黑体" w:hint="eastAsia"/>
          <w:color w:val="000000" w:themeColor="text1"/>
        </w:rPr>
        <w:t xml:space="preserve">　</w:t>
      </w:r>
      <w:r w:rsidRPr="00A27AC2">
        <w:rPr>
          <w:rFonts w:ascii="仿宋_GB2312" w:hAnsi="黑体" w:hint="eastAsia"/>
          <w:color w:val="000000" w:themeColor="text1"/>
        </w:rPr>
        <w:t>城镇公共消火栓的日常维护保养，市政道路已经移交使用的，由供水企业负责，市政道路尚未移交使用的，由市政道路建设单位负责。</w:t>
      </w:r>
    </w:p>
    <w:p w14:paraId="55E4DB12" w14:textId="77777777"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27AC2">
        <w:rPr>
          <w:rFonts w:ascii="仿宋_GB2312" w:hAnsi="黑体" w:hint="eastAsia"/>
          <w:color w:val="000000" w:themeColor="text1"/>
        </w:rPr>
        <w:t>农村公共消火栓的维护和管理责任单位由区县人民政府确</w:t>
      </w:r>
      <w:r w:rsidRPr="00A27AC2">
        <w:rPr>
          <w:rFonts w:ascii="仿宋_GB2312" w:hAnsi="黑体" w:hint="eastAsia"/>
          <w:color w:val="000000" w:themeColor="text1"/>
        </w:rPr>
        <w:lastRenderedPageBreak/>
        <w:t>定；未确定的，由镇人民政府、街道办事处负责维护和管理。</w:t>
      </w:r>
    </w:p>
    <w:p w14:paraId="47B51396" w14:textId="531D1F6B"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A2399">
        <w:rPr>
          <w:rFonts w:ascii="黑体" w:eastAsia="黑体" w:hAnsi="黑体" w:hint="eastAsia"/>
          <w:color w:val="000000" w:themeColor="text1"/>
        </w:rPr>
        <w:t>第十三条</w:t>
      </w:r>
      <w:r w:rsidR="0068384A">
        <w:rPr>
          <w:rFonts w:ascii="仿宋_GB2312" w:hAnsi="黑体" w:hint="eastAsia"/>
          <w:color w:val="000000" w:themeColor="text1"/>
        </w:rPr>
        <w:t xml:space="preserve">　</w:t>
      </w:r>
      <w:r w:rsidRPr="00A27AC2">
        <w:rPr>
          <w:rFonts w:ascii="仿宋_GB2312" w:hAnsi="黑体" w:hint="eastAsia"/>
          <w:color w:val="000000" w:themeColor="text1"/>
        </w:rPr>
        <w:t>公共消火栓的维护管理单位应当履行下列职责：</w:t>
      </w:r>
    </w:p>
    <w:p w14:paraId="08BD375D" w14:textId="77777777"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27AC2">
        <w:rPr>
          <w:rFonts w:ascii="仿宋_GB2312" w:hAnsi="黑体" w:hint="eastAsia"/>
          <w:color w:val="000000" w:themeColor="text1"/>
        </w:rPr>
        <w:t>（一）配备专职或者兼职人员，建立健全巡查、维护和管理制度，至少每年进行一次全面的检查和维护，确保完好有效；</w:t>
      </w:r>
    </w:p>
    <w:p w14:paraId="5E01A467" w14:textId="77777777"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27AC2">
        <w:rPr>
          <w:rFonts w:ascii="仿宋_GB2312" w:hAnsi="黑体" w:hint="eastAsia"/>
          <w:color w:val="000000" w:themeColor="text1"/>
        </w:rPr>
        <w:t>（二）建立公共消火栓电子档案，如实记录公共消火栓设置数量、分布、安装位置（含定位坐标）、型号及检查、维护等情况，每年向城乡水</w:t>
      </w:r>
      <w:proofErr w:type="gramStart"/>
      <w:r w:rsidRPr="00A27AC2">
        <w:rPr>
          <w:rFonts w:ascii="仿宋_GB2312" w:hAnsi="黑体" w:hint="eastAsia"/>
          <w:color w:val="000000" w:themeColor="text1"/>
        </w:rPr>
        <w:t>务</w:t>
      </w:r>
      <w:proofErr w:type="gramEnd"/>
      <w:r w:rsidRPr="00A27AC2">
        <w:rPr>
          <w:rFonts w:ascii="仿宋_GB2312" w:hAnsi="黑体" w:hint="eastAsia"/>
          <w:color w:val="000000" w:themeColor="text1"/>
        </w:rPr>
        <w:t>部门和消防救援部门报备；</w:t>
      </w:r>
    </w:p>
    <w:p w14:paraId="000CF769" w14:textId="77777777"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27AC2">
        <w:rPr>
          <w:rFonts w:ascii="仿宋_GB2312" w:hAnsi="黑体" w:hint="eastAsia"/>
          <w:color w:val="000000" w:themeColor="text1"/>
        </w:rPr>
        <w:t>（三）向社会公布消火栓24小时故障报修电话，接到报修电话或者相关部门通知后，立即组织抢修维护；</w:t>
      </w:r>
    </w:p>
    <w:p w14:paraId="0C7C3184" w14:textId="77777777"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27AC2">
        <w:rPr>
          <w:rFonts w:ascii="仿宋_GB2312" w:hAnsi="黑体" w:hint="eastAsia"/>
          <w:color w:val="000000" w:themeColor="text1"/>
        </w:rPr>
        <w:t>（四）应急抢修应当及时向消防救援部门通报情况，供水管网因故障或者维护需要停水的，应当事先告知消防救援部门。</w:t>
      </w:r>
    </w:p>
    <w:p w14:paraId="13845B8A" w14:textId="1F4B25DD"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A2399">
        <w:rPr>
          <w:rFonts w:ascii="黑体" w:eastAsia="黑体" w:hAnsi="黑体" w:hint="eastAsia"/>
          <w:color w:val="000000" w:themeColor="text1"/>
        </w:rPr>
        <w:t>第十四条</w:t>
      </w:r>
      <w:r w:rsidR="0068384A">
        <w:rPr>
          <w:rFonts w:ascii="仿宋_GB2312" w:hAnsi="黑体" w:hint="eastAsia"/>
          <w:color w:val="000000" w:themeColor="text1"/>
        </w:rPr>
        <w:t xml:space="preserve">　</w:t>
      </w:r>
      <w:r w:rsidRPr="00A27AC2">
        <w:rPr>
          <w:rFonts w:ascii="仿宋_GB2312" w:hAnsi="黑体" w:hint="eastAsia"/>
          <w:color w:val="000000" w:themeColor="text1"/>
        </w:rPr>
        <w:t>消防救援部门依照《中华人民共和国消防法》有</w:t>
      </w:r>
      <w:r w:rsidRPr="00AA2399">
        <w:rPr>
          <w:rFonts w:ascii="仿宋_GB2312" w:hAnsi="黑体" w:hint="eastAsia"/>
          <w:color w:val="000000" w:themeColor="text1"/>
          <w:spacing w:val="6"/>
        </w:rPr>
        <w:t>关规定，对埋压、圈占、遮挡公共消火栓等违法行为依法予以处罚。</w:t>
      </w:r>
    </w:p>
    <w:p w14:paraId="57B8824F" w14:textId="77777777"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27AC2">
        <w:rPr>
          <w:rFonts w:ascii="仿宋_GB2312" w:hAnsi="黑体" w:hint="eastAsia"/>
          <w:color w:val="000000" w:themeColor="text1"/>
        </w:rPr>
        <w:t>公安机关依照《中华人民共和国治安管理处罚法》有关规定，对损毁、盗窃公共消火栓等违法行为依法予以处罚；构成犯罪的，依法追究刑事责任。</w:t>
      </w:r>
    </w:p>
    <w:p w14:paraId="5C6BFBCA" w14:textId="77777777"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27AC2">
        <w:rPr>
          <w:rFonts w:ascii="仿宋_GB2312" w:hAnsi="黑体" w:hint="eastAsia"/>
          <w:color w:val="000000" w:themeColor="text1"/>
        </w:rPr>
        <w:t>其他违反本办法的行为，法律、法规、规章另有规定的，从其规定。</w:t>
      </w:r>
    </w:p>
    <w:p w14:paraId="35A75C02" w14:textId="20F84888"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A2399">
        <w:rPr>
          <w:rFonts w:ascii="黑体" w:eastAsia="黑体" w:hAnsi="黑体" w:hint="eastAsia"/>
          <w:color w:val="000000" w:themeColor="text1"/>
        </w:rPr>
        <w:t>第十五条</w:t>
      </w:r>
      <w:r w:rsidR="0068384A">
        <w:rPr>
          <w:rFonts w:ascii="仿宋_GB2312" w:hAnsi="黑体" w:hint="eastAsia"/>
          <w:color w:val="000000" w:themeColor="text1"/>
        </w:rPr>
        <w:t xml:space="preserve">　</w:t>
      </w:r>
      <w:r w:rsidRPr="00A27AC2">
        <w:rPr>
          <w:rFonts w:ascii="仿宋_GB2312" w:hAnsi="黑体" w:hint="eastAsia"/>
          <w:color w:val="000000" w:themeColor="text1"/>
        </w:rPr>
        <w:t>公安机关在划定道路停车位时，应当避开公共消火栓。</w:t>
      </w:r>
    </w:p>
    <w:p w14:paraId="70819A95" w14:textId="77777777"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27AC2">
        <w:rPr>
          <w:rFonts w:ascii="仿宋_GB2312" w:hAnsi="黑体" w:hint="eastAsia"/>
          <w:color w:val="000000" w:themeColor="text1"/>
        </w:rPr>
        <w:lastRenderedPageBreak/>
        <w:t>公安机关对在公共消火栓旁边违规停放车辆，影响公共消火栓正常使用的违法行为依法予以查处。</w:t>
      </w:r>
    </w:p>
    <w:p w14:paraId="37142883" w14:textId="70035A8D"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A2399">
        <w:rPr>
          <w:rFonts w:ascii="黑体" w:eastAsia="黑体" w:hAnsi="黑体" w:hint="eastAsia"/>
          <w:color w:val="000000" w:themeColor="text1"/>
        </w:rPr>
        <w:t>第十六条</w:t>
      </w:r>
      <w:r w:rsidR="0068384A">
        <w:rPr>
          <w:rFonts w:ascii="仿宋_GB2312" w:hAnsi="黑体" w:hint="eastAsia"/>
          <w:color w:val="000000" w:themeColor="text1"/>
        </w:rPr>
        <w:t xml:space="preserve">　</w:t>
      </w:r>
      <w:r w:rsidRPr="00A27AC2">
        <w:rPr>
          <w:rFonts w:ascii="仿宋_GB2312" w:hAnsi="黑体" w:hint="eastAsia"/>
          <w:color w:val="000000" w:themeColor="text1"/>
        </w:rPr>
        <w:t>有关部门及工作人员违反本办法，在公共消火栓规划、建设、使用、维护及监督管理过程中未依法履行职责的，依法依规予以处理。</w:t>
      </w:r>
    </w:p>
    <w:p w14:paraId="1B62F01A" w14:textId="4BB5C88F" w:rsidR="00A27AC2" w:rsidRPr="00A27AC2" w:rsidRDefault="00A27AC2" w:rsidP="00A27AC2">
      <w:pPr>
        <w:pStyle w:val="a0"/>
        <w:overflowPunct w:val="0"/>
        <w:adjustRightInd w:val="0"/>
        <w:snapToGrid w:val="0"/>
        <w:spacing w:line="580" w:lineRule="exact"/>
        <w:ind w:firstLine="628"/>
        <w:rPr>
          <w:rFonts w:ascii="仿宋_GB2312" w:hAnsi="黑体" w:hint="eastAsia"/>
          <w:color w:val="000000" w:themeColor="text1"/>
        </w:rPr>
      </w:pPr>
      <w:r w:rsidRPr="00AA2399">
        <w:rPr>
          <w:rFonts w:ascii="黑体" w:eastAsia="黑体" w:hAnsi="黑体" w:hint="eastAsia"/>
          <w:color w:val="000000" w:themeColor="text1"/>
        </w:rPr>
        <w:t>第十七条</w:t>
      </w:r>
      <w:r w:rsidR="0068384A">
        <w:rPr>
          <w:rFonts w:ascii="仿宋_GB2312" w:hAnsi="黑体" w:hint="eastAsia"/>
          <w:color w:val="000000" w:themeColor="text1"/>
        </w:rPr>
        <w:t xml:space="preserve">　</w:t>
      </w:r>
      <w:r w:rsidRPr="00A27AC2">
        <w:rPr>
          <w:rFonts w:ascii="仿宋_GB2312" w:hAnsi="黑体" w:hint="eastAsia"/>
          <w:color w:val="000000" w:themeColor="text1"/>
        </w:rPr>
        <w:t>济南高新技术产业开发区管理委员会、济南市南部山区管理委员会、济南新旧动能转换起步区管理委员会，按照职责权限执行本办法。</w:t>
      </w:r>
    </w:p>
    <w:p w14:paraId="449FFA1E" w14:textId="17DC012D" w:rsidR="00F41592" w:rsidRPr="00A27AC2" w:rsidRDefault="00A27AC2" w:rsidP="00A27AC2">
      <w:pPr>
        <w:pStyle w:val="a0"/>
        <w:overflowPunct w:val="0"/>
        <w:adjustRightInd w:val="0"/>
        <w:snapToGrid w:val="0"/>
        <w:spacing w:line="580" w:lineRule="exact"/>
        <w:ind w:firstLine="628"/>
        <w:rPr>
          <w:rFonts w:ascii="仿宋_GB2312" w:hint="eastAsia"/>
          <w:color w:val="000000" w:themeColor="text1"/>
        </w:rPr>
      </w:pPr>
      <w:r w:rsidRPr="00AA2399">
        <w:rPr>
          <w:rFonts w:ascii="黑体" w:eastAsia="黑体" w:hAnsi="黑体" w:hint="eastAsia"/>
          <w:color w:val="000000" w:themeColor="text1"/>
        </w:rPr>
        <w:t>第十八条</w:t>
      </w:r>
      <w:r w:rsidR="0068384A">
        <w:rPr>
          <w:rFonts w:ascii="仿宋_GB2312" w:hAnsi="黑体" w:hint="eastAsia"/>
          <w:color w:val="000000" w:themeColor="text1"/>
        </w:rPr>
        <w:t xml:space="preserve">　</w:t>
      </w:r>
      <w:r w:rsidRPr="00A27AC2">
        <w:rPr>
          <w:rFonts w:ascii="仿宋_GB2312" w:hAnsi="黑体" w:hint="eastAsia"/>
          <w:color w:val="000000" w:themeColor="text1"/>
        </w:rPr>
        <w:t>本办法自2026年1月1日起施行。</w:t>
      </w:r>
    </w:p>
    <w:sectPr w:rsidR="00F41592" w:rsidRPr="00A27AC2">
      <w:headerReference w:type="default" r:id="rId7"/>
      <w:footerReference w:type="even" r:id="rId8"/>
      <w:footerReference w:type="default" r:id="rId9"/>
      <w:pgSz w:w="11906" w:h="16838"/>
      <w:pgMar w:top="1985" w:right="1474" w:bottom="1701" w:left="1644" w:header="851" w:footer="992" w:gutter="0"/>
      <w:cols w:space="720"/>
      <w:docGrid w:type="linesAndChars" w:linePitch="597" w:charSpace="-125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32081B" w14:textId="77777777" w:rsidR="00D709CD" w:rsidRDefault="00D709CD">
      <w:r>
        <w:separator/>
      </w:r>
    </w:p>
  </w:endnote>
  <w:endnote w:type="continuationSeparator" w:id="0">
    <w:p w14:paraId="3FD278CC" w14:textId="77777777" w:rsidR="00D709CD" w:rsidRDefault="00D709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embedRegular r:id="rId1" w:subsetted="1" w:fontKey="{F7121AE0-8D0C-436D-B5CC-0D871C5FD009}"/>
  </w:font>
  <w:font w:name="仿宋_GB2312">
    <w:panose1 w:val="02010609030101010101"/>
    <w:charset w:val="86"/>
    <w:family w:val="modern"/>
    <w:pitch w:val="fixed"/>
    <w:sig w:usb0="00000001" w:usb1="080E0000" w:usb2="00000010" w:usb3="00000000" w:csb0="00040000" w:csb1="00000000"/>
    <w:embedRegular r:id="rId2" w:subsetted="1" w:fontKey="{0734CFF1-CAE5-4447-8B94-056FDD37EF96}"/>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embedRegular r:id="rId3" w:subsetted="1" w:fontKey="{7C2E0A62-B80F-40F6-803F-F5F3D2B4D30F}"/>
  </w:font>
  <w:font w:name="楷体_GB2312">
    <w:panose1 w:val="02010609030101010101"/>
    <w:charset w:val="86"/>
    <w:family w:val="modern"/>
    <w:pitch w:val="fixed"/>
    <w:sig w:usb0="00000001" w:usb1="080E0000" w:usb2="00000010" w:usb3="00000000" w:csb0="00040000" w:csb1="00000000"/>
    <w:embedRegular r:id="rId4" w:subsetted="1" w:fontKey="{B5F11436-34D0-4E0C-95D7-1240DC428F9A}"/>
  </w:font>
  <w:font w:name="黑体">
    <w:altName w:val="SimHei"/>
    <w:panose1 w:val="02010609060101010101"/>
    <w:charset w:val="86"/>
    <w:family w:val="modern"/>
    <w:pitch w:val="fixed"/>
    <w:sig w:usb0="800002BF" w:usb1="38CF7CFA" w:usb2="00000016" w:usb3="00000000" w:csb0="00040001" w:csb1="00000000"/>
    <w:embedRegular r:id="rId5" w:subsetted="1" w:fontKey="{0F4BE6EE-46FE-4392-B15A-FD122B21FC6D}"/>
  </w:font>
  <w:font w:name="方正书宋_GBK">
    <w:panose1 w:val="03000509000000000000"/>
    <w:charset w:val="86"/>
    <w:family w:val="script"/>
    <w:pitch w:val="fixed"/>
    <w:sig w:usb0="00000001" w:usb1="080E0000" w:usb2="00000010" w:usb3="00000000" w:csb0="00040000" w:csb1="00000000"/>
    <w:embedRegular r:id="rId6" w:subsetted="1" w:fontKey="{FE0DA3F3-5066-4961-B535-E5A7F37B7164}"/>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79C1F5" w14:textId="77777777" w:rsidR="00F41592" w:rsidRDefault="00411F32">
    <w:pPr>
      <w:pStyle w:val="a8"/>
      <w:framePr w:wrap="around" w:vAnchor="text" w:hAnchor="margin" w:xAlign="outside" w:y="1"/>
      <w:rPr>
        <w:rStyle w:val="aa"/>
      </w:rPr>
    </w:pPr>
    <w:r>
      <w:rPr>
        <w:rStyle w:val="aa"/>
      </w:rPr>
      <w:fldChar w:fldCharType="begin"/>
    </w:r>
    <w:r>
      <w:rPr>
        <w:rStyle w:val="aa"/>
      </w:rPr>
      <w:instrText xml:space="preserve">PAGE  </w:instrText>
    </w:r>
    <w:r>
      <w:rPr>
        <w:rStyle w:val="aa"/>
      </w:rPr>
      <w:fldChar w:fldCharType="end"/>
    </w:r>
  </w:p>
  <w:p w14:paraId="2612B03E" w14:textId="77777777" w:rsidR="00F41592" w:rsidRDefault="00F41592">
    <w:pPr>
      <w:pStyle w:val="a8"/>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CCBFF8" w14:textId="77777777" w:rsidR="00F41592" w:rsidRDefault="00411F32">
    <w:pPr>
      <w:pStyle w:val="a8"/>
      <w:framePr w:w="1588" w:wrap="notBeside" w:vAnchor="page" w:hAnchor="margin" w:xAlign="outside" w:y="14460"/>
      <w:jc w:val="center"/>
      <w:rPr>
        <w:rStyle w:val="aa"/>
        <w:rFonts w:ascii="方正书宋_GBK" w:eastAsia="方正书宋_GBK"/>
        <w:sz w:val="28"/>
        <w:szCs w:val="28"/>
      </w:rPr>
    </w:pPr>
    <w:r>
      <w:rPr>
        <w:rStyle w:val="aa"/>
        <w:rFonts w:ascii="方正书宋_GBK" w:eastAsia="方正书宋_GBK" w:hint="eastAsia"/>
        <w:sz w:val="28"/>
        <w:szCs w:val="28"/>
      </w:rPr>
      <w:t xml:space="preserve">— </w:t>
    </w:r>
    <w:r>
      <w:rPr>
        <w:rStyle w:val="aa"/>
        <w:rFonts w:ascii="方正书宋_GBK" w:eastAsia="方正书宋_GBK" w:hint="eastAsia"/>
        <w:sz w:val="28"/>
        <w:szCs w:val="28"/>
      </w:rPr>
      <w:fldChar w:fldCharType="begin"/>
    </w:r>
    <w:r>
      <w:rPr>
        <w:rStyle w:val="aa"/>
        <w:rFonts w:ascii="方正书宋_GBK" w:eastAsia="方正书宋_GBK" w:hint="eastAsia"/>
        <w:sz w:val="28"/>
        <w:szCs w:val="28"/>
      </w:rPr>
      <w:instrText xml:space="preserve">PAGE  </w:instrText>
    </w:r>
    <w:r>
      <w:rPr>
        <w:rStyle w:val="aa"/>
        <w:rFonts w:ascii="方正书宋_GBK" w:eastAsia="方正书宋_GBK" w:hint="eastAsia"/>
        <w:sz w:val="28"/>
        <w:szCs w:val="28"/>
      </w:rPr>
      <w:fldChar w:fldCharType="separate"/>
    </w:r>
    <w:r>
      <w:rPr>
        <w:rStyle w:val="aa"/>
        <w:rFonts w:ascii="方正书宋_GBK" w:eastAsia="方正书宋_GBK"/>
        <w:sz w:val="28"/>
        <w:szCs w:val="28"/>
      </w:rPr>
      <w:t>2</w:t>
    </w:r>
    <w:r>
      <w:rPr>
        <w:rStyle w:val="aa"/>
        <w:rFonts w:ascii="方正书宋_GBK" w:eastAsia="方正书宋_GBK" w:hint="eastAsia"/>
        <w:sz w:val="28"/>
        <w:szCs w:val="28"/>
      </w:rPr>
      <w:fldChar w:fldCharType="end"/>
    </w:r>
    <w:r>
      <w:rPr>
        <w:rStyle w:val="aa"/>
        <w:rFonts w:ascii="方正书宋_GBK" w:eastAsia="方正书宋_GBK" w:hint="eastAsia"/>
        <w:sz w:val="28"/>
        <w:szCs w:val="28"/>
      </w:rPr>
      <w:t xml:space="preserve"> </w:t>
    </w:r>
    <w:r>
      <w:rPr>
        <w:rStyle w:val="aa"/>
        <w:rFonts w:ascii="方正书宋_GBK" w:eastAsia="方正书宋_GBK" w:hint="eastAsia"/>
        <w:sz w:val="28"/>
        <w:szCs w:val="28"/>
      </w:rPr>
      <w:t>—</w:t>
    </w:r>
  </w:p>
  <w:p w14:paraId="7EED674E" w14:textId="77777777" w:rsidR="00F41592" w:rsidRDefault="00411F32">
    <w:pPr>
      <w:pStyle w:val="a9"/>
      <w:ind w:leftChars="2280" w:left="7296" w:right="360" w:firstLineChars="2000" w:firstLine="6400"/>
      <w:rPr>
        <w:rFonts w:eastAsia="仿宋"/>
        <w:sz w:val="32"/>
        <w:szCs w:val="48"/>
      </w:rPr>
    </w:pPr>
    <w:r>
      <w:rPr>
        <w:rFonts w:eastAsia="仿宋" w:hint="eastAsia"/>
        <w:sz w:val="32"/>
        <w:szCs w:val="48"/>
      </w:rPr>
      <w:t xml:space="preserve">  </w:t>
    </w:r>
  </w:p>
  <w:p w14:paraId="74A10FD9" w14:textId="77777777" w:rsidR="00F41592" w:rsidRDefault="00411F32">
    <w:pPr>
      <w:pStyle w:val="a9"/>
      <w:spacing w:beforeLines="100" w:before="240"/>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0288" behindDoc="0" locked="0" layoutInCell="1" allowOverlap="1" wp14:anchorId="6D1BEAD4" wp14:editId="630CAF9D">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w14:anchorId="535D6697" id="直接连接符 5"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" strokecolor="#005192" strokeweight="1.75pt">
              <v:stroke joinstyle="miter"/>
            </v:line>
          </w:pict>
        </mc:Fallback>
      </mc:AlternateContent>
    </w:r>
    <w:r>
      <w:rPr>
        <w:rFonts w:eastAsia="仿宋" w:hint="eastAsia"/>
        <w:color w:val="FAFAFA"/>
        <w:sz w:val="32"/>
        <w:szCs w:val="48"/>
      </w:rPr>
      <w:t>X</w:t>
    </w:r>
    <w:r>
      <w:rPr>
        <w:rFonts w:ascii="宋体" w:eastAsia="宋体" w:hAnsi="宋体" w:cs="宋体" w:hint="eastAsia"/>
        <w:b/>
        <w:bCs/>
        <w:color w:val="005192"/>
        <w:sz w:val="28"/>
        <w:szCs w:val="44"/>
      </w:rPr>
      <w:t xml:space="preserve">济南市人民政府发布     </w:t>
    </w:r>
  </w:p>
  <w:p w14:paraId="61E9E30D" w14:textId="77777777" w:rsidR="00F41592" w:rsidRDefault="00F41592">
    <w:pPr>
      <w:pStyle w:val="a9"/>
      <w:wordWrap w:val="0"/>
      <w:ind w:leftChars="2280" w:left="7296"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F49B45" w14:textId="77777777" w:rsidR="00D709CD" w:rsidRDefault="00D709CD">
      <w:r>
        <w:separator/>
      </w:r>
    </w:p>
  </w:footnote>
  <w:footnote w:type="continuationSeparator" w:id="0">
    <w:p w14:paraId="69F0B0AD" w14:textId="77777777" w:rsidR="00D709CD" w:rsidRDefault="00D709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F6648D" w14:textId="77777777" w:rsidR="00F41592" w:rsidRDefault="00411F32">
    <w:pPr>
      <w:pStyle w:val="a9"/>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59264" behindDoc="0" locked="0" layoutInCell="1" allowOverlap="1" wp14:anchorId="37BFCCE5" wp14:editId="54242DEE">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w14:anchorId="42AD104F" id="直接连接符 4"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3pt,54.35pt" to="442.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" strokecolor="#005192" strokeweight="1.75pt">
              <v:stroke joinstyle="miter"/>
            </v:line>
          </w:pict>
        </mc:Fallback>
      </mc:AlternateContent>
    </w:r>
  </w:p>
  <w:p w14:paraId="407C3AD5" w14:textId="77777777" w:rsidR="00F41592" w:rsidRDefault="00411F32">
    <w:pPr>
      <w:pStyle w:val="a9"/>
      <w:textAlignment w:val="center"/>
      <w:rPr>
        <w:rFonts w:ascii="宋体" w:eastAsia="宋体" w:hAnsi="宋体" w:cs="宋体"/>
        <w:b/>
        <w:bCs/>
        <w:color w:val="005192"/>
        <w:sz w:val="32"/>
      </w:rPr>
    </w:pPr>
    <w:r>
      <w:rPr>
        <w:rFonts w:ascii="宋体" w:eastAsia="宋体" w:hAnsi="宋体" w:cs="宋体" w:hint="eastAsia"/>
        <w:b/>
        <w:bCs/>
        <w:noProof/>
        <w:color w:val="005192"/>
        <w:sz w:val="32"/>
      </w:rPr>
      <w:drawing>
        <wp:inline distT="0" distB="0" distL="114300" distR="114300" wp14:anchorId="0B02DAE8" wp14:editId="0794A8C9">
          <wp:extent cx="308610" cy="308610"/>
          <wp:effectExtent l="0" t="0" r="15240" b="15240"/>
          <wp:docPr id="1"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ascii="宋体" w:eastAsia="宋体" w:hAnsi="宋体" w:cs="宋体" w:hint="eastAsia"/>
        <w:b/>
        <w:bCs/>
        <w:color w:val="005192"/>
        <w:sz w:val="32"/>
      </w:rPr>
      <w:t>济南市人民政府规章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TrueTypeFonts/>
  <w:saveSubsetFonts/>
  <w:bordersDoNotSurroundHeader/>
  <w:bordersDoNotSurroundFooter/>
  <w:proofState w:spelling="clean" w:grammar="clean"/>
  <w:defaultTabStop w:val="420"/>
  <w:drawingGridHorizontalSpacing w:val="157"/>
  <w:drawingGridVerticalSpacing w:val="597"/>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GQwYWVlMzE4YTUwYzVmZGNlYmYzYjhkODA5ZThlOTkifQ=="/>
  </w:docVars>
  <w:rsids>
    <w:rsidRoot w:val="00172A27"/>
    <w:rsid w:val="000428F7"/>
    <w:rsid w:val="000F6DB6"/>
    <w:rsid w:val="0011773C"/>
    <w:rsid w:val="001457B3"/>
    <w:rsid w:val="00150CB0"/>
    <w:rsid w:val="00172A27"/>
    <w:rsid w:val="00197373"/>
    <w:rsid w:val="001C49CE"/>
    <w:rsid w:val="002805EC"/>
    <w:rsid w:val="003546B4"/>
    <w:rsid w:val="00411F32"/>
    <w:rsid w:val="004B2A69"/>
    <w:rsid w:val="0055311B"/>
    <w:rsid w:val="0063245B"/>
    <w:rsid w:val="0068384A"/>
    <w:rsid w:val="006D2552"/>
    <w:rsid w:val="00732854"/>
    <w:rsid w:val="007A78D6"/>
    <w:rsid w:val="00A27AC2"/>
    <w:rsid w:val="00A41EE5"/>
    <w:rsid w:val="00AA2399"/>
    <w:rsid w:val="00B2116F"/>
    <w:rsid w:val="00B44FDB"/>
    <w:rsid w:val="00B61BE8"/>
    <w:rsid w:val="00C92B56"/>
    <w:rsid w:val="00D12298"/>
    <w:rsid w:val="00D224F1"/>
    <w:rsid w:val="00D709CD"/>
    <w:rsid w:val="00DB3E57"/>
    <w:rsid w:val="00E43878"/>
    <w:rsid w:val="00EA2A6E"/>
    <w:rsid w:val="00ED457F"/>
    <w:rsid w:val="00F41592"/>
    <w:rsid w:val="019E71BD"/>
    <w:rsid w:val="028F7F7C"/>
    <w:rsid w:val="04B679C3"/>
    <w:rsid w:val="056C3BFD"/>
    <w:rsid w:val="0629304A"/>
    <w:rsid w:val="080F63D8"/>
    <w:rsid w:val="09341458"/>
    <w:rsid w:val="0B0912D7"/>
    <w:rsid w:val="0CFE3F9E"/>
    <w:rsid w:val="10CA7C6B"/>
    <w:rsid w:val="152D2DCA"/>
    <w:rsid w:val="17080894"/>
    <w:rsid w:val="1DEC284C"/>
    <w:rsid w:val="1E6523AC"/>
    <w:rsid w:val="1EF54573"/>
    <w:rsid w:val="20C46079"/>
    <w:rsid w:val="21E81D77"/>
    <w:rsid w:val="22440422"/>
    <w:rsid w:val="31A15F24"/>
    <w:rsid w:val="34476B80"/>
    <w:rsid w:val="361A028D"/>
    <w:rsid w:val="395347B5"/>
    <w:rsid w:val="39A232A0"/>
    <w:rsid w:val="39E745AA"/>
    <w:rsid w:val="3B5A6BBB"/>
    <w:rsid w:val="3EDA13A6"/>
    <w:rsid w:val="40DF6A4B"/>
    <w:rsid w:val="42F058B7"/>
    <w:rsid w:val="436109F6"/>
    <w:rsid w:val="441A38D4"/>
    <w:rsid w:val="451707F1"/>
    <w:rsid w:val="4BC77339"/>
    <w:rsid w:val="4C9236C5"/>
    <w:rsid w:val="4EA813AE"/>
    <w:rsid w:val="4F537AB2"/>
    <w:rsid w:val="505C172E"/>
    <w:rsid w:val="50947F24"/>
    <w:rsid w:val="525E163D"/>
    <w:rsid w:val="52F46F0B"/>
    <w:rsid w:val="53D8014D"/>
    <w:rsid w:val="55CF657E"/>
    <w:rsid w:val="55E064E0"/>
    <w:rsid w:val="572C6D10"/>
    <w:rsid w:val="59D06015"/>
    <w:rsid w:val="5DC34279"/>
    <w:rsid w:val="608816D1"/>
    <w:rsid w:val="60EF4E7F"/>
    <w:rsid w:val="665233C1"/>
    <w:rsid w:val="6AD9688B"/>
    <w:rsid w:val="6D0E3F22"/>
    <w:rsid w:val="7C29082D"/>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4150449"/>
  <w15:docId w15:val="{29CC43C6-AAF2-4581-8674-F7198CF98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qFormat="1"/>
    <w:lsdException w:name="header" w:qFormat="1"/>
    <w:lsdException w:name="footer" w:qFormat="1"/>
    <w:lsdException w:name="caption" w:semiHidden="1" w:unhideWhenUsed="1" w:qFormat="1"/>
    <w:lsdException w:name="Title" w:uiPriority="10"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eastAsia="仿宋_GB2312" w:hAnsi="Calibri"/>
      <w:kern w:val="2"/>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qFormat/>
    <w:pPr>
      <w:ind w:firstLineChars="200" w:firstLine="420"/>
    </w:pPr>
    <w:rPr>
      <w:szCs w:val="22"/>
    </w:rPr>
  </w:style>
  <w:style w:type="paragraph" w:styleId="a4">
    <w:name w:val="annotation text"/>
    <w:basedOn w:val="a"/>
    <w:qFormat/>
    <w:pPr>
      <w:jc w:val="left"/>
    </w:pPr>
  </w:style>
  <w:style w:type="paragraph" w:styleId="a5">
    <w:name w:val="Body Text"/>
    <w:basedOn w:val="a"/>
    <w:next w:val="a6"/>
    <w:qFormat/>
    <w:pPr>
      <w:spacing w:line="700" w:lineRule="exact"/>
      <w:jc w:val="center"/>
    </w:pPr>
    <w:rPr>
      <w:rFonts w:ascii="Times New Roman" w:eastAsia="华文中宋"/>
      <w:sz w:val="44"/>
    </w:rPr>
  </w:style>
  <w:style w:type="paragraph" w:styleId="a6">
    <w:name w:val="Title"/>
    <w:basedOn w:val="a"/>
    <w:next w:val="a"/>
    <w:uiPriority w:val="10"/>
    <w:qFormat/>
    <w:pPr>
      <w:spacing w:before="240" w:after="60"/>
      <w:ind w:firstLine="422"/>
      <w:jc w:val="center"/>
      <w:outlineLvl w:val="0"/>
    </w:pPr>
    <w:rPr>
      <w:rFonts w:ascii="Calibri Light" w:eastAsia="宋体" w:hAnsi="Calibri Light"/>
      <w:b/>
      <w:bCs/>
      <w:sz w:val="21"/>
    </w:rPr>
  </w:style>
  <w:style w:type="paragraph" w:styleId="a7">
    <w:name w:val="Balloon Text"/>
    <w:basedOn w:val="a"/>
    <w:semiHidden/>
    <w:rPr>
      <w:sz w:val="18"/>
      <w:szCs w:val="18"/>
    </w:rPr>
  </w:style>
  <w:style w:type="paragraph" w:styleId="a8">
    <w:name w:val="footer"/>
    <w:basedOn w:val="a"/>
    <w:qFormat/>
    <w:pPr>
      <w:tabs>
        <w:tab w:val="center" w:pos="4153"/>
        <w:tab w:val="right" w:pos="8306"/>
      </w:tabs>
      <w:snapToGrid w:val="0"/>
      <w:jc w:val="left"/>
    </w:pPr>
    <w:rPr>
      <w:sz w:val="18"/>
    </w:rPr>
  </w:style>
  <w:style w:type="paragraph" w:styleId="a9">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a">
    <w:name w:val="page number"/>
    <w:basedOn w:val="a1"/>
  </w:style>
  <w:style w:type="paragraph" w:customStyle="1" w:styleId="p">
    <w:name w:val="p"/>
    <w:basedOn w:val="a"/>
    <w:qFormat/>
    <w:pPr>
      <w:spacing w:line="390" w:lineRule="atLeast"/>
      <w:ind w:firstLine="420"/>
    </w:pPr>
  </w:style>
  <w:style w:type="character" w:customStyle="1" w:styleId="any">
    <w:name w:val="any"/>
    <w:basedOn w:val="a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6</Pages>
  <Words>373</Words>
  <Characters>2129</Characters>
  <Application>Microsoft Office Word</Application>
  <DocSecurity>0</DocSecurity>
  <Lines>17</Lines>
  <Paragraphs>4</Paragraphs>
  <ScaleCrop>false</ScaleCrop>
  <Company>Microsoft</Company>
  <LinksUpToDate>false</LinksUpToDate>
  <CharactersWithSpaces>2498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Administrator</cp:lastModifiedBy>
  <cp:revision>16</cp:revision>
  <cp:lastPrinted>2025-10-22T08:33:00Z</cp:lastPrinted>
  <dcterms:created xsi:type="dcterms:W3CDTF">2025-10-22T08:18:00Z</dcterms:created>
  <dcterms:modified xsi:type="dcterms:W3CDTF">2025-11-13T09:03:00Z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7DE7942AFE024044B0F1713BAB5425DD_13</vt:lpwstr>
  </property>
</Properties>
</file>