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F4116">
      <w:pPr>
        <w:jc w:val="center"/>
        <w:rPr>
          <w:rFonts w:ascii="宋体" w:hAnsi="宋体" w:eastAsia="宋体" w:cs="宋体"/>
          <w:color w:val="000000" w:themeColor="text1"/>
          <w:sz w:val="44"/>
          <w:szCs w:val="44"/>
          <w14:textFill>
            <w14:solidFill>
              <w14:schemeClr w14:val="tx1"/>
            </w14:solidFill>
          </w14:textFill>
        </w:rPr>
      </w:pPr>
    </w:p>
    <w:p w14:paraId="77B0BF3B">
      <w:pPr>
        <w:jc w:val="center"/>
        <w:rPr>
          <w:rFonts w:ascii="宋体" w:hAnsi="宋体" w:eastAsia="宋体" w:cs="宋体"/>
          <w:color w:val="000000" w:themeColor="text1"/>
          <w:sz w:val="44"/>
          <w:szCs w:val="44"/>
          <w14:textFill>
            <w14:solidFill>
              <w14:schemeClr w14:val="tx1"/>
            </w14:solidFill>
          </w14:textFill>
        </w:rPr>
      </w:pPr>
    </w:p>
    <w:p w14:paraId="57A40260">
      <w:pPr>
        <w:adjustRightInd w:val="0"/>
        <w:snapToGrid w:val="0"/>
        <w:spacing w:line="660" w:lineRule="exact"/>
        <w:jc w:val="center"/>
        <w:rPr>
          <w:rFonts w:ascii="方正小标宋简体" w:hAnsi="宋体" w:eastAsia="方正小标宋简体" w:cs="宋体"/>
          <w:color w:val="000000" w:themeColor="text1"/>
          <w:sz w:val="44"/>
          <w:szCs w:val="44"/>
          <w14:textFill>
            <w14:solidFill>
              <w14:schemeClr w14:val="tx1"/>
            </w14:solidFill>
          </w14:textFill>
        </w:rPr>
      </w:pPr>
      <w:r>
        <w:rPr>
          <w:rFonts w:hint="eastAsia" w:ascii="方正小标宋简体" w:hAnsi="宋体" w:eastAsia="方正小标宋简体" w:cs="宋体"/>
          <w:color w:val="000000" w:themeColor="text1"/>
          <w:sz w:val="44"/>
          <w:szCs w:val="44"/>
          <w14:textFill>
            <w14:solidFill>
              <w14:schemeClr w14:val="tx1"/>
            </w14:solidFill>
          </w14:textFill>
        </w:rPr>
        <w:t>济南市应急避难场所管理办法</w:t>
      </w:r>
    </w:p>
    <w:p w14:paraId="7DE22ED9">
      <w:pPr>
        <w:pStyle w:val="2"/>
        <w:overflowPunct w:val="0"/>
        <w:adjustRightInd w:val="0"/>
        <w:snapToGrid w:val="0"/>
        <w:spacing w:line="580" w:lineRule="exact"/>
        <w:ind w:firstLine="628"/>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b w:val="0"/>
          <w:bCs w:val="0"/>
          <w:color w:val="auto"/>
          <w:sz w:val="28"/>
          <w:szCs w:val="28"/>
          <w:lang w:eastAsia="zh-CN"/>
        </w:rPr>
        <w:t>（</w:t>
      </w:r>
      <w:r>
        <w:rPr>
          <w:rFonts w:hint="eastAsia" w:ascii="仿宋_GB2312" w:hAnsi="仿宋_GB2312" w:cs="仿宋_GB2312"/>
          <w:b w:val="0"/>
          <w:bCs w:val="0"/>
          <w:color w:val="auto"/>
          <w:sz w:val="28"/>
          <w:szCs w:val="28"/>
          <w:lang w:val="en-US" w:eastAsia="zh-CN"/>
        </w:rPr>
        <w:t xml:space="preserve">2025年9月25日济南市人民政府令第296号公布 </w:t>
      </w:r>
      <w:r>
        <w:rPr>
          <w:rFonts w:hint="eastAsia" w:ascii="仿宋_GB2312" w:hAnsi="仿宋_GB2312" w:eastAsia="仿宋_GB2312" w:cs="仿宋_GB2312"/>
          <w:color w:val="auto"/>
          <w:sz w:val="28"/>
          <w:szCs w:val="28"/>
        </w:rPr>
        <w:t>自202</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color w:val="auto"/>
          <w:sz w:val="28"/>
          <w:szCs w:val="28"/>
          <w:u w:val="none"/>
        </w:rPr>
        <w:t>月1日</w:t>
      </w:r>
      <w:r>
        <w:rPr>
          <w:rFonts w:hint="eastAsia" w:ascii="仿宋_GB2312" w:hAnsi="仿宋_GB2312" w:eastAsia="仿宋_GB2312" w:cs="仿宋_GB2312"/>
          <w:color w:val="auto"/>
          <w:sz w:val="28"/>
          <w:szCs w:val="28"/>
        </w:rPr>
        <w:t>起施行</w:t>
      </w:r>
      <w:r>
        <w:rPr>
          <w:rFonts w:hint="eastAsia" w:ascii="仿宋_GB2312" w:hAnsi="仿宋_GB2312" w:eastAsia="仿宋_GB2312" w:cs="仿宋_GB2312"/>
          <w:color w:val="auto"/>
          <w:sz w:val="28"/>
          <w:szCs w:val="28"/>
          <w:lang w:eastAsia="zh-CN"/>
        </w:rPr>
        <w:t>）</w:t>
      </w:r>
    </w:p>
    <w:p w14:paraId="7516EAD7">
      <w:pPr>
        <w:pStyle w:val="2"/>
        <w:overflowPunct w:val="0"/>
        <w:adjustRightInd w:val="0"/>
        <w:snapToGrid w:val="0"/>
        <w:spacing w:line="580" w:lineRule="exact"/>
        <w:ind w:firstLine="628"/>
        <w:rPr>
          <w:rFonts w:hint="eastAsia" w:ascii="仿宋_GB2312" w:hAnsi="仿宋_GB2312" w:eastAsia="仿宋_GB2312" w:cs="仿宋_GB2312"/>
          <w:color w:val="auto"/>
          <w:sz w:val="28"/>
          <w:szCs w:val="28"/>
          <w:lang w:eastAsia="zh-CN"/>
        </w:rPr>
      </w:pPr>
      <w:bookmarkStart w:id="0" w:name="_GoBack"/>
      <w:bookmarkEnd w:id="0"/>
    </w:p>
    <w:p w14:paraId="49FC0AB8">
      <w:pPr>
        <w:overflowPunct w:val="0"/>
        <w:adjustRightInd w:val="0"/>
        <w:snapToGrid w:val="0"/>
        <w:spacing w:line="580" w:lineRule="exact"/>
        <w:ind w:firstLine="628" w:firstLineChars="200"/>
        <w:rPr>
          <w:rFonts w:hint="eastAsia" w:ascii="仿宋_GB2312" w:hAnsi="仿宋_GB2312" w:cs="仿宋_GB2312"/>
          <w:color w:val="000000" w:themeColor="text1"/>
          <w14:textFill>
            <w14:solidFill>
              <w14:schemeClr w14:val="tx1"/>
            </w14:solidFill>
          </w14:textFill>
        </w:rPr>
      </w:pPr>
      <w:r>
        <w:rPr>
          <w:rFonts w:hint="eastAsia" w:ascii="黑体" w:hAnsi="黑体" w:eastAsia="黑体" w:cs="仿宋_GB2312"/>
          <w:color w:val="000000" w:themeColor="text1"/>
          <w14:textFill>
            <w14:solidFill>
              <w14:schemeClr w14:val="tx1"/>
            </w14:solidFill>
          </w14:textFill>
        </w:rPr>
        <w:t>第一条　</w:t>
      </w:r>
      <w:r>
        <w:rPr>
          <w:rFonts w:hint="eastAsia" w:ascii="仿宋_GB2312" w:hAnsi="仿宋_GB2312" w:cs="仿宋_GB2312"/>
          <w:color w:val="000000" w:themeColor="text1"/>
          <w14:textFill>
            <w14:solidFill>
              <w14:schemeClr w14:val="tx1"/>
            </w14:solidFill>
          </w14:textFill>
        </w:rPr>
        <w:t>为了加强应急避难场所管理工作，提高防灾减灾救灾能力，根据《中华人民共和国突发事件应对法》、《自然灾害救助条例》、《山东省突发事件应对条例》等法律、法规，结合本市实际，制定本办法。</w:t>
      </w:r>
    </w:p>
    <w:p w14:paraId="6534199F">
      <w:pPr>
        <w:overflowPunct w:val="0"/>
        <w:adjustRightInd w:val="0"/>
        <w:snapToGrid w:val="0"/>
        <w:spacing w:line="580" w:lineRule="exact"/>
        <w:ind w:firstLine="628" w:firstLineChars="200"/>
        <w:rPr>
          <w:rFonts w:hint="eastAsia" w:ascii="仿宋_GB2312" w:hAnsi="仿宋_GB2312" w:cs="仿宋_GB2312"/>
          <w:color w:val="000000" w:themeColor="text1"/>
          <w14:textFill>
            <w14:solidFill>
              <w14:schemeClr w14:val="tx1"/>
            </w14:solidFill>
          </w14:textFill>
        </w:rPr>
      </w:pPr>
      <w:r>
        <w:rPr>
          <w:rFonts w:hint="eastAsia" w:ascii="黑体" w:hAnsi="黑体" w:eastAsia="黑体" w:cs="仿宋_GB2312"/>
          <w:color w:val="000000" w:themeColor="text1"/>
          <w14:textFill>
            <w14:solidFill>
              <w14:schemeClr w14:val="tx1"/>
            </w14:solidFill>
          </w14:textFill>
        </w:rPr>
        <w:t>第二条　</w:t>
      </w:r>
      <w:r>
        <w:rPr>
          <w:rFonts w:hint="eastAsia" w:ascii="仿宋_GB2312" w:hAnsi="仿宋_GB2312" w:cs="仿宋_GB2312"/>
          <w:color w:val="000000" w:themeColor="text1"/>
          <w14:textFill>
            <w14:solidFill>
              <w14:schemeClr w14:val="tx1"/>
            </w14:solidFill>
          </w14:textFill>
        </w:rPr>
        <w:t>本市行政区域内应急避难场所的规划、建设、管理与使用等有关活动，适用本办法。法律、法规、规章另有规定的，从其规定。</w:t>
      </w:r>
    </w:p>
    <w:p w14:paraId="1AC7CE5E">
      <w:pPr>
        <w:overflowPunct w:val="0"/>
        <w:adjustRightInd w:val="0"/>
        <w:snapToGrid w:val="0"/>
        <w:spacing w:line="580" w:lineRule="exact"/>
        <w:ind w:firstLine="628" w:firstLineChars="200"/>
        <w:rPr>
          <w:rFonts w:hint="eastAsia" w:ascii="仿宋_GB2312" w:hAnsi="仿宋_GB2312" w:cs="仿宋_GB2312"/>
          <w:color w:val="000000" w:themeColor="text1"/>
          <w14:textFill>
            <w14:solidFill>
              <w14:schemeClr w14:val="tx1"/>
            </w14:solidFill>
          </w14:textFill>
        </w:rPr>
      </w:pPr>
      <w:r>
        <w:rPr>
          <w:rFonts w:hint="eastAsia" w:ascii="黑体" w:hAnsi="黑体" w:eastAsia="黑体" w:cs="仿宋_GB2312"/>
          <w:color w:val="000000" w:themeColor="text1"/>
          <w14:textFill>
            <w14:solidFill>
              <w14:schemeClr w14:val="tx1"/>
            </w14:solidFill>
          </w14:textFill>
        </w:rPr>
        <w:t>第三条　</w:t>
      </w:r>
      <w:r>
        <w:rPr>
          <w:rFonts w:hint="eastAsia" w:ascii="仿宋_GB2312" w:hAnsi="仿宋_GB2312" w:cs="仿宋_GB2312"/>
          <w:color w:val="000000" w:themeColor="text1"/>
          <w14:textFill>
            <w14:solidFill>
              <w14:schemeClr w14:val="tx1"/>
            </w14:solidFill>
          </w14:textFill>
        </w:rPr>
        <w:t>本办法所称应急避难场所，是指为了应对地震、台风、洪涝、地质灾害等自然灾害以及其他突发事件，按照规划和相关标准建设，用于应急避难人员应急避险、疏散和临时安置，具有基本生活服务保障功能的安全场所。</w:t>
      </w:r>
    </w:p>
    <w:p w14:paraId="7E44AB4F">
      <w:pPr>
        <w:overflowPunct w:val="0"/>
        <w:adjustRightInd w:val="0"/>
        <w:snapToGrid w:val="0"/>
        <w:spacing w:line="580" w:lineRule="exact"/>
        <w:ind w:firstLine="628" w:firstLineChars="200"/>
        <w:rPr>
          <w:rFonts w:hint="eastAsia" w:ascii="仿宋_GB2312" w:hAnsi="仿宋_GB2312" w:cs="仿宋_GB2312"/>
          <w:color w:val="000000" w:themeColor="text1"/>
          <w14:textFill>
            <w14:solidFill>
              <w14:schemeClr w14:val="tx1"/>
            </w14:solidFill>
          </w14:textFill>
        </w:rPr>
      </w:pPr>
      <w:r>
        <w:rPr>
          <w:rFonts w:hint="eastAsia" w:ascii="黑体" w:hAnsi="黑体" w:eastAsia="黑体" w:cs="仿宋_GB2312"/>
          <w:color w:val="000000" w:themeColor="text1"/>
          <w14:textFill>
            <w14:solidFill>
              <w14:schemeClr w14:val="tx1"/>
            </w14:solidFill>
          </w14:textFill>
        </w:rPr>
        <w:t>第四条　</w:t>
      </w:r>
      <w:r>
        <w:rPr>
          <w:rFonts w:hint="eastAsia" w:ascii="仿宋_GB2312" w:hAnsi="仿宋_GB2312" w:cs="仿宋_GB2312"/>
          <w:color w:val="000000" w:themeColor="text1"/>
          <w14:textFill>
            <w14:solidFill>
              <w14:schemeClr w14:val="tx1"/>
            </w14:solidFill>
          </w14:textFill>
        </w:rPr>
        <w:t>应急避难场所管理工作，实行政府主导、部门联动、统筹规划、平急结合、综合利用、分级管理、属地为主的原则。</w:t>
      </w:r>
    </w:p>
    <w:p w14:paraId="2B6CFAA0">
      <w:pPr>
        <w:overflowPunct w:val="0"/>
        <w:adjustRightInd w:val="0"/>
        <w:snapToGrid w:val="0"/>
        <w:spacing w:line="580" w:lineRule="exact"/>
        <w:ind w:firstLine="628" w:firstLineChars="200"/>
        <w:rPr>
          <w:rFonts w:hint="eastAsia" w:ascii="仿宋_GB2312" w:hAnsi="仿宋_GB2312" w:cs="仿宋_GB2312"/>
          <w:color w:val="000000" w:themeColor="text1"/>
          <w14:textFill>
            <w14:solidFill>
              <w14:schemeClr w14:val="tx1"/>
            </w14:solidFill>
          </w14:textFill>
        </w:rPr>
      </w:pPr>
      <w:r>
        <w:rPr>
          <w:rFonts w:hint="eastAsia" w:ascii="黑体" w:hAnsi="黑体" w:eastAsia="黑体" w:cs="仿宋_GB2312"/>
          <w:color w:val="000000" w:themeColor="text1"/>
          <w14:textFill>
            <w14:solidFill>
              <w14:schemeClr w14:val="tx1"/>
            </w14:solidFill>
          </w14:textFill>
        </w:rPr>
        <w:t>第五条　</w:t>
      </w:r>
      <w:r>
        <w:rPr>
          <w:rFonts w:hint="eastAsia" w:ascii="仿宋_GB2312" w:hAnsi="仿宋_GB2312" w:cs="仿宋_GB2312"/>
          <w:color w:val="000000" w:themeColor="text1"/>
          <w14:textFill>
            <w14:solidFill>
              <w14:schemeClr w14:val="tx1"/>
            </w14:solidFill>
          </w14:textFill>
        </w:rPr>
        <w:t>区县人民政府应当加强对本辖区应急避难场所管理工作的领导，统筹协调解决应急避难场所管理工作中的重大问题，构建总量充足、布局合理的应急避难场所体系。</w:t>
      </w:r>
    </w:p>
    <w:p w14:paraId="0ED78898">
      <w:pPr>
        <w:overflowPunct w:val="0"/>
        <w:adjustRightInd w:val="0"/>
        <w:snapToGrid w:val="0"/>
        <w:spacing w:line="580" w:lineRule="exact"/>
        <w:ind w:firstLine="628" w:firstLineChars="200"/>
        <w:rPr>
          <w:rFonts w:hint="eastAsia" w:ascii="仿宋_GB2312" w:hAnsi="仿宋_GB2312" w:cs="仿宋_GB2312"/>
          <w:color w:val="000000" w:themeColor="text1"/>
          <w14:textFill>
            <w14:solidFill>
              <w14:schemeClr w14:val="tx1"/>
            </w14:solidFill>
          </w14:textFill>
        </w:rPr>
      </w:pPr>
      <w:r>
        <w:rPr>
          <w:rFonts w:hint="eastAsia" w:ascii="黑体" w:hAnsi="黑体" w:eastAsia="黑体" w:cs="仿宋_GB2312"/>
          <w:color w:val="000000" w:themeColor="text1"/>
          <w14:textFill>
            <w14:solidFill>
              <w14:schemeClr w14:val="tx1"/>
            </w14:solidFill>
          </w14:textFill>
        </w:rPr>
        <w:t>第六条　</w:t>
      </w:r>
      <w:r>
        <w:rPr>
          <w:rFonts w:hint="eastAsia" w:ascii="仿宋_GB2312" w:hAnsi="仿宋_GB2312" w:cs="仿宋_GB2312"/>
          <w:color w:val="000000" w:themeColor="text1"/>
          <w14:textFill>
            <w14:solidFill>
              <w14:schemeClr w14:val="tx1"/>
            </w14:solidFill>
          </w14:textFill>
        </w:rPr>
        <w:t>市、区县应急管理部门负责统筹协调指导和监督应急避难场所规划、建设、管理与使用等工作,组织编制应急避难场所相关标准和预案，协调指导应急避难场所物资储备和应急演练工作，组织应急避难场所评估认定。</w:t>
      </w:r>
    </w:p>
    <w:p w14:paraId="7D9FF918">
      <w:pPr>
        <w:overflowPunct w:val="0"/>
        <w:adjustRightInd w:val="0"/>
        <w:snapToGrid w:val="0"/>
        <w:spacing w:line="580" w:lineRule="exact"/>
        <w:ind w:firstLine="628" w:firstLineChars="200"/>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发展和改革、教育、公安、财政、自然资源和规划、住房和城乡建设、城市管理、城乡交通运输、城乡水务、园林和林业绿化、商务、卫生健康、体育、国防动员、消防救援等部门，按照各自职责做好应急避难场所相关工作。</w:t>
      </w:r>
    </w:p>
    <w:p w14:paraId="7D2411AA">
      <w:pPr>
        <w:overflowPunct w:val="0"/>
        <w:adjustRightInd w:val="0"/>
        <w:snapToGrid w:val="0"/>
        <w:spacing w:line="580" w:lineRule="exact"/>
        <w:ind w:firstLine="628" w:firstLineChars="200"/>
        <w:rPr>
          <w:rFonts w:hint="eastAsia" w:ascii="仿宋_GB2312" w:hAnsi="仿宋_GB2312" w:cs="仿宋_GB2312"/>
          <w:color w:val="000000" w:themeColor="text1"/>
          <w14:textFill>
            <w14:solidFill>
              <w14:schemeClr w14:val="tx1"/>
            </w14:solidFill>
          </w14:textFill>
        </w:rPr>
      </w:pPr>
      <w:r>
        <w:rPr>
          <w:rFonts w:hint="eastAsia" w:ascii="黑体" w:hAnsi="黑体" w:eastAsia="黑体" w:cs="仿宋_GB2312"/>
          <w:color w:val="000000" w:themeColor="text1"/>
          <w14:textFill>
            <w14:solidFill>
              <w14:schemeClr w14:val="tx1"/>
            </w14:solidFill>
          </w14:textFill>
        </w:rPr>
        <w:t>第七条　</w:t>
      </w:r>
      <w:r>
        <w:rPr>
          <w:rFonts w:hint="eastAsia" w:ascii="仿宋_GB2312" w:hAnsi="仿宋_GB2312" w:cs="仿宋_GB2312"/>
          <w:color w:val="000000" w:themeColor="text1"/>
          <w14:textFill>
            <w14:solidFill>
              <w14:schemeClr w14:val="tx1"/>
            </w14:solidFill>
          </w14:textFill>
        </w:rPr>
        <w:t>镇人民政府、街道办事处依照突发事件应对相关职责要求，做好应急避难场所相关工作。</w:t>
      </w:r>
    </w:p>
    <w:p w14:paraId="6BC6A203">
      <w:pPr>
        <w:overflowPunct w:val="0"/>
        <w:adjustRightInd w:val="0"/>
        <w:snapToGrid w:val="0"/>
        <w:spacing w:line="580" w:lineRule="exact"/>
        <w:ind w:firstLine="628" w:firstLineChars="200"/>
        <w:rPr>
          <w:rFonts w:hint="eastAsia" w:ascii="仿宋_GB2312" w:hAnsi="仿宋_GB2312" w:cs="仿宋_GB2312"/>
          <w:color w:val="000000" w:themeColor="text1"/>
          <w14:textFill>
            <w14:solidFill>
              <w14:schemeClr w14:val="tx1"/>
            </w14:solidFill>
          </w14:textFill>
        </w:rPr>
      </w:pPr>
      <w:r>
        <w:rPr>
          <w:rFonts w:hint="eastAsia" w:ascii="黑体" w:hAnsi="黑体" w:eastAsia="黑体" w:cs="仿宋_GB2312"/>
          <w:color w:val="000000" w:themeColor="text1"/>
          <w14:textFill>
            <w14:solidFill>
              <w14:schemeClr w14:val="tx1"/>
            </w14:solidFill>
          </w14:textFill>
        </w:rPr>
        <w:t>第八条　</w:t>
      </w:r>
      <w:r>
        <w:rPr>
          <w:rFonts w:hint="eastAsia" w:ascii="仿宋_GB2312" w:hAnsi="仿宋_GB2312" w:cs="仿宋_GB2312"/>
          <w:color w:val="000000" w:themeColor="text1"/>
          <w14:textFill>
            <w14:solidFill>
              <w14:schemeClr w14:val="tx1"/>
            </w14:solidFill>
          </w14:textFill>
        </w:rPr>
        <w:t xml:space="preserve">鼓励社会资本以捐赠、资助和共同建设等形式参与应急避难场所建设。  </w:t>
      </w:r>
    </w:p>
    <w:p w14:paraId="3E4245A6">
      <w:pPr>
        <w:overflowPunct w:val="0"/>
        <w:adjustRightInd w:val="0"/>
        <w:snapToGrid w:val="0"/>
        <w:spacing w:line="580" w:lineRule="exact"/>
        <w:ind w:firstLine="628" w:firstLineChars="200"/>
        <w:rPr>
          <w:rFonts w:hint="eastAsia" w:ascii="仿宋_GB2312" w:hAnsi="仿宋_GB2312" w:cs="仿宋_GB2312"/>
          <w:color w:val="000000" w:themeColor="text1"/>
          <w14:textFill>
            <w14:solidFill>
              <w14:schemeClr w14:val="tx1"/>
            </w14:solidFill>
          </w14:textFill>
        </w:rPr>
      </w:pPr>
      <w:r>
        <w:rPr>
          <w:rFonts w:hint="eastAsia" w:ascii="黑体" w:hAnsi="黑体" w:eastAsia="黑体" w:cs="仿宋_GB2312"/>
          <w:color w:val="000000" w:themeColor="text1"/>
          <w14:textFill>
            <w14:solidFill>
              <w14:schemeClr w14:val="tx1"/>
            </w14:solidFill>
          </w14:textFill>
        </w:rPr>
        <w:t>第九条　</w:t>
      </w:r>
      <w:r>
        <w:rPr>
          <w:rFonts w:hint="eastAsia" w:ascii="仿宋_GB2312" w:hAnsi="仿宋_GB2312" w:cs="仿宋_GB2312"/>
          <w:color w:val="000000" w:themeColor="text1"/>
          <w14:textFill>
            <w14:solidFill>
              <w14:schemeClr w14:val="tx1"/>
            </w14:solidFill>
          </w14:textFill>
        </w:rPr>
        <w:t>市、区县应急管理部门应当会同有关部门，综合本区域地理地质环境、气象水文条件和人口分布、土地资源、公共设施与场地空间、突发事件特征等因素，充分利用防灾减灾、防疫、防空应急避难资源以及公园、绿地、广场、学校、体育场馆、会展中心等公共设施，统筹设立应急避难场所。</w:t>
      </w:r>
    </w:p>
    <w:p w14:paraId="0F76D530">
      <w:pPr>
        <w:overflowPunct w:val="0"/>
        <w:adjustRightInd w:val="0"/>
        <w:snapToGrid w:val="0"/>
        <w:spacing w:line="580" w:lineRule="exact"/>
        <w:ind w:firstLine="628" w:firstLineChars="200"/>
        <w:rPr>
          <w:rFonts w:hint="eastAsia" w:ascii="仿宋_GB2312" w:hAnsi="仿宋_GB2312" w:cs="仿宋_GB2312"/>
          <w:color w:val="000000" w:themeColor="text1"/>
          <w14:textFill>
            <w14:solidFill>
              <w14:schemeClr w14:val="tx1"/>
            </w14:solidFill>
          </w14:textFill>
        </w:rPr>
      </w:pPr>
      <w:r>
        <w:rPr>
          <w:rFonts w:hint="eastAsia" w:ascii="黑体" w:hAnsi="黑体" w:eastAsia="黑体" w:cs="仿宋_GB2312"/>
          <w:color w:val="000000" w:themeColor="text1"/>
          <w14:textFill>
            <w14:solidFill>
              <w14:schemeClr w14:val="tx1"/>
            </w14:solidFill>
          </w14:textFill>
        </w:rPr>
        <w:t>第十条　</w:t>
      </w:r>
      <w:r>
        <w:rPr>
          <w:rFonts w:hint="eastAsia" w:ascii="仿宋_GB2312" w:hAnsi="仿宋_GB2312" w:cs="仿宋_GB2312"/>
          <w:color w:val="000000" w:themeColor="text1"/>
          <w14:textFill>
            <w14:solidFill>
              <w14:schemeClr w14:val="tx1"/>
            </w14:solidFill>
          </w14:textFill>
        </w:rPr>
        <w:t>市应急管理部门应当会同市自然资源和规划等有关部门组织编制全市应急避难场所专项规划，报市人民政府批准后实施。应急避难场所专项规划应当遵循国土空间总体规划，与国民经济和社会发展规划相衔接。</w:t>
      </w:r>
    </w:p>
    <w:p w14:paraId="5CDD4AC8">
      <w:pPr>
        <w:overflowPunct w:val="0"/>
        <w:adjustRightInd w:val="0"/>
        <w:snapToGrid w:val="0"/>
        <w:spacing w:line="580" w:lineRule="exact"/>
        <w:ind w:firstLine="628" w:firstLineChars="200"/>
        <w:rPr>
          <w:rFonts w:hint="eastAsia" w:ascii="仿宋_GB2312" w:hAnsi="仿宋_GB2312" w:cs="仿宋_GB2312"/>
          <w:color w:val="000000" w:themeColor="text1"/>
          <w14:textFill>
            <w14:solidFill>
              <w14:schemeClr w14:val="tx1"/>
            </w14:solidFill>
          </w14:textFill>
        </w:rPr>
      </w:pPr>
      <w:r>
        <w:rPr>
          <w:rFonts w:hint="eastAsia" w:ascii="黑体" w:hAnsi="黑体" w:eastAsia="黑体" w:cs="仿宋_GB2312"/>
          <w:color w:val="000000" w:themeColor="text1"/>
          <w14:textFill>
            <w14:solidFill>
              <w14:schemeClr w14:val="tx1"/>
            </w14:solidFill>
          </w14:textFill>
        </w:rPr>
        <w:t>第十一条　</w:t>
      </w:r>
      <w:r>
        <w:rPr>
          <w:rFonts w:hint="eastAsia" w:ascii="仿宋_GB2312" w:hAnsi="仿宋_GB2312" w:cs="仿宋_GB2312"/>
          <w:color w:val="000000" w:themeColor="text1"/>
          <w14:textFill>
            <w14:solidFill>
              <w14:schemeClr w14:val="tx1"/>
            </w14:solidFill>
          </w14:textFill>
        </w:rPr>
        <w:t>应急避难场所专项规划应当包括下列内容：</w:t>
      </w:r>
    </w:p>
    <w:p w14:paraId="308ACB46">
      <w:pPr>
        <w:overflowPunct w:val="0"/>
        <w:adjustRightInd w:val="0"/>
        <w:snapToGrid w:val="0"/>
        <w:spacing w:line="580" w:lineRule="exact"/>
        <w:ind w:firstLine="628" w:firstLineChars="200"/>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（一）经济社会及应急管理发展现状；</w:t>
      </w:r>
    </w:p>
    <w:p w14:paraId="57A5167E">
      <w:pPr>
        <w:overflowPunct w:val="0"/>
        <w:adjustRightInd w:val="0"/>
        <w:snapToGrid w:val="0"/>
        <w:spacing w:line="580" w:lineRule="exact"/>
        <w:ind w:firstLine="628" w:firstLineChars="200"/>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（二）应急避难场所发展现状及分析；</w:t>
      </w:r>
    </w:p>
    <w:p w14:paraId="735CC659">
      <w:pPr>
        <w:overflowPunct w:val="0"/>
        <w:adjustRightInd w:val="0"/>
        <w:snapToGrid w:val="0"/>
        <w:spacing w:line="580" w:lineRule="exact"/>
        <w:ind w:firstLine="628" w:firstLineChars="200"/>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（三）应急避难需求及资源分析；</w:t>
      </w:r>
    </w:p>
    <w:p w14:paraId="493237B9">
      <w:pPr>
        <w:overflowPunct w:val="0"/>
        <w:adjustRightInd w:val="0"/>
        <w:snapToGrid w:val="0"/>
        <w:spacing w:line="580" w:lineRule="exact"/>
        <w:ind w:firstLine="628" w:firstLineChars="200"/>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（四）规划目标与指标；</w:t>
      </w:r>
    </w:p>
    <w:p w14:paraId="2690838F">
      <w:pPr>
        <w:overflowPunct w:val="0"/>
        <w:adjustRightInd w:val="0"/>
        <w:snapToGrid w:val="0"/>
        <w:spacing w:line="580" w:lineRule="exact"/>
        <w:ind w:firstLine="628" w:firstLineChars="200"/>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（五）应急避难场所发展布局规划；</w:t>
      </w:r>
    </w:p>
    <w:p w14:paraId="1113C624">
      <w:pPr>
        <w:overflowPunct w:val="0"/>
        <w:adjustRightInd w:val="0"/>
        <w:snapToGrid w:val="0"/>
        <w:spacing w:line="580" w:lineRule="exact"/>
        <w:ind w:firstLine="628" w:firstLineChars="200"/>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（六）应急避难场所设计要求指引；</w:t>
      </w:r>
    </w:p>
    <w:p w14:paraId="3EA5079A">
      <w:pPr>
        <w:overflowPunct w:val="0"/>
        <w:adjustRightInd w:val="0"/>
        <w:snapToGrid w:val="0"/>
        <w:spacing w:line="580" w:lineRule="exact"/>
        <w:ind w:firstLine="628" w:firstLineChars="200"/>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（七）实施安排及保障措施等内容；</w:t>
      </w:r>
    </w:p>
    <w:p w14:paraId="5C218572">
      <w:pPr>
        <w:overflowPunct w:val="0"/>
        <w:adjustRightInd w:val="0"/>
        <w:snapToGrid w:val="0"/>
        <w:spacing w:line="580" w:lineRule="exact"/>
        <w:ind w:firstLine="628" w:firstLineChars="200"/>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（八）与相关规划衔接的其他事项。</w:t>
      </w:r>
    </w:p>
    <w:p w14:paraId="0D0952D7">
      <w:pPr>
        <w:overflowPunct w:val="0"/>
        <w:adjustRightInd w:val="0"/>
        <w:snapToGrid w:val="0"/>
        <w:spacing w:line="580" w:lineRule="exact"/>
        <w:ind w:firstLine="628" w:firstLineChars="200"/>
        <w:rPr>
          <w:rFonts w:hint="eastAsia" w:ascii="仿宋_GB2312" w:hAnsi="仿宋_GB2312" w:cs="仿宋_GB2312"/>
          <w:color w:val="000000" w:themeColor="text1"/>
          <w14:textFill>
            <w14:solidFill>
              <w14:schemeClr w14:val="tx1"/>
            </w14:solidFill>
          </w14:textFill>
        </w:rPr>
      </w:pPr>
      <w:r>
        <w:rPr>
          <w:rFonts w:hint="eastAsia" w:ascii="黑体" w:hAnsi="黑体" w:eastAsia="黑体" w:cs="仿宋_GB2312"/>
          <w:color w:val="000000" w:themeColor="text1"/>
          <w14:textFill>
            <w14:solidFill>
              <w14:schemeClr w14:val="tx1"/>
            </w14:solidFill>
          </w14:textFill>
        </w:rPr>
        <w:t>第十二条　</w:t>
      </w:r>
      <w:r>
        <w:rPr>
          <w:rFonts w:hint="eastAsia" w:ascii="仿宋_GB2312" w:hAnsi="仿宋_GB2312" w:cs="仿宋_GB2312"/>
          <w:color w:val="000000" w:themeColor="text1"/>
          <w14:textFill>
            <w14:solidFill>
              <w14:schemeClr w14:val="tx1"/>
            </w14:solidFill>
          </w14:textFill>
        </w:rPr>
        <w:t>经批准的应急避难场所专项规划不得擅自修改。确需修改的，应当在满足该区域应急避难场所规划要求的前提下，重新规划应急避难场所，并按照有关程序办理。</w:t>
      </w:r>
    </w:p>
    <w:p w14:paraId="39BBAF37">
      <w:pPr>
        <w:overflowPunct w:val="0"/>
        <w:adjustRightInd w:val="0"/>
        <w:snapToGrid w:val="0"/>
        <w:spacing w:line="580" w:lineRule="exact"/>
        <w:ind w:firstLine="628" w:firstLineChars="200"/>
        <w:rPr>
          <w:rFonts w:hint="eastAsia" w:ascii="仿宋_GB2312" w:hAnsi="仿宋_GB2312" w:cs="仿宋_GB2312"/>
          <w:color w:val="000000" w:themeColor="text1"/>
          <w14:textFill>
            <w14:solidFill>
              <w14:schemeClr w14:val="tx1"/>
            </w14:solidFill>
          </w14:textFill>
        </w:rPr>
      </w:pPr>
      <w:r>
        <w:rPr>
          <w:rFonts w:hint="eastAsia" w:ascii="黑体" w:hAnsi="黑体" w:eastAsia="黑体" w:cs="仿宋_GB2312"/>
          <w:color w:val="000000" w:themeColor="text1"/>
          <w14:textFill>
            <w14:solidFill>
              <w14:schemeClr w14:val="tx1"/>
            </w14:solidFill>
          </w14:textFill>
        </w:rPr>
        <w:t>第十三条　</w:t>
      </w:r>
      <w:r>
        <w:rPr>
          <w:rFonts w:hint="eastAsia" w:ascii="仿宋_GB2312" w:hAnsi="仿宋_GB2312" w:cs="仿宋_GB2312"/>
          <w:color w:val="000000" w:themeColor="text1"/>
          <w14:textFill>
            <w14:solidFill>
              <w14:schemeClr w14:val="tx1"/>
            </w14:solidFill>
          </w14:textFill>
        </w:rPr>
        <w:t>应急避难场所的选址、设计、建设、改造应当符合国家相关标准、规范和设防要求。新建应急避难场所要与新建城乡公共设施、场地空间和住宅小区等同步规划、建设、验收和交付。</w:t>
      </w:r>
    </w:p>
    <w:p w14:paraId="703D91CA">
      <w:pPr>
        <w:overflowPunct w:val="0"/>
        <w:adjustRightInd w:val="0"/>
        <w:snapToGrid w:val="0"/>
        <w:spacing w:line="580" w:lineRule="exact"/>
        <w:ind w:firstLine="628" w:firstLineChars="200"/>
        <w:rPr>
          <w:rFonts w:hint="eastAsia" w:ascii="仿宋_GB2312" w:hAnsi="仿宋_GB2312" w:cs="仿宋_GB2312"/>
          <w:color w:val="000000" w:themeColor="text1"/>
          <w14:textFill>
            <w14:solidFill>
              <w14:schemeClr w14:val="tx1"/>
            </w14:solidFill>
          </w14:textFill>
        </w:rPr>
      </w:pPr>
      <w:r>
        <w:rPr>
          <w:rFonts w:hint="eastAsia" w:ascii="黑体" w:hAnsi="黑体" w:eastAsia="黑体" w:cs="仿宋_GB2312"/>
          <w:color w:val="000000" w:themeColor="text1"/>
          <w14:textFill>
            <w14:solidFill>
              <w14:schemeClr w14:val="tx1"/>
            </w14:solidFill>
          </w14:textFill>
        </w:rPr>
        <w:t>第十四条　</w:t>
      </w:r>
      <w:r>
        <w:rPr>
          <w:rFonts w:hint="eastAsia" w:ascii="仿宋_GB2312" w:hAnsi="仿宋_GB2312" w:cs="仿宋_GB2312"/>
          <w:color w:val="000000" w:themeColor="text1"/>
          <w14:textFill>
            <w14:solidFill>
              <w14:schemeClr w14:val="tx1"/>
            </w14:solidFill>
          </w14:textFill>
        </w:rPr>
        <w:t>市、区县应急管理部门应当建立完善本辖区应急避难场所信息数据库，定期向社会公布应急避难场所的位置、面积、可容纳人数等信息。</w:t>
      </w:r>
    </w:p>
    <w:p w14:paraId="050EF729">
      <w:pPr>
        <w:overflowPunct w:val="0"/>
        <w:adjustRightInd w:val="0"/>
        <w:snapToGrid w:val="0"/>
        <w:spacing w:line="580" w:lineRule="exact"/>
        <w:ind w:firstLine="628" w:firstLineChars="200"/>
        <w:rPr>
          <w:rFonts w:hint="eastAsia" w:ascii="仿宋_GB2312" w:hAnsi="仿宋_GB2312" w:cs="仿宋_GB2312"/>
          <w:color w:val="000000" w:themeColor="text1"/>
          <w14:textFill>
            <w14:solidFill>
              <w14:schemeClr w14:val="tx1"/>
            </w14:solidFill>
          </w14:textFill>
        </w:rPr>
      </w:pPr>
      <w:r>
        <w:rPr>
          <w:rFonts w:hint="eastAsia" w:ascii="黑体" w:hAnsi="黑体" w:eastAsia="黑体" w:cs="仿宋_GB2312"/>
          <w:color w:val="000000" w:themeColor="text1"/>
          <w14:textFill>
            <w14:solidFill>
              <w14:schemeClr w14:val="tx1"/>
            </w14:solidFill>
          </w14:textFill>
        </w:rPr>
        <w:t>第十五条　</w:t>
      </w:r>
      <w:r>
        <w:rPr>
          <w:rFonts w:hint="eastAsia" w:ascii="仿宋_GB2312" w:hAnsi="仿宋_GB2312" w:cs="仿宋_GB2312"/>
          <w:color w:val="000000" w:themeColor="text1"/>
          <w14:textFill>
            <w14:solidFill>
              <w14:schemeClr w14:val="tx1"/>
            </w14:solidFill>
          </w14:textFill>
        </w:rPr>
        <w:t>市、区县应急管理部门应当组织有关部门和单位在应急避难场所设置明显标志标识。</w:t>
      </w:r>
    </w:p>
    <w:p w14:paraId="2A2C8E47">
      <w:pPr>
        <w:overflowPunct w:val="0"/>
        <w:adjustRightInd w:val="0"/>
        <w:snapToGrid w:val="0"/>
        <w:spacing w:line="580" w:lineRule="exact"/>
        <w:ind w:firstLine="628" w:firstLineChars="200"/>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任何单位和个人不得损毁或者擅自移动、拆除应急避难场所标志标识。</w:t>
      </w:r>
    </w:p>
    <w:p w14:paraId="0A5AFDFB">
      <w:pPr>
        <w:overflowPunct w:val="0"/>
        <w:adjustRightInd w:val="0"/>
        <w:snapToGrid w:val="0"/>
        <w:spacing w:line="580" w:lineRule="exact"/>
        <w:ind w:firstLine="628" w:firstLineChars="200"/>
        <w:rPr>
          <w:rFonts w:hint="eastAsia" w:ascii="仿宋_GB2312" w:hAnsi="仿宋_GB2312" w:cs="仿宋_GB2312"/>
          <w:color w:val="000000" w:themeColor="text1"/>
          <w14:textFill>
            <w14:solidFill>
              <w14:schemeClr w14:val="tx1"/>
            </w14:solidFill>
          </w14:textFill>
        </w:rPr>
      </w:pPr>
      <w:r>
        <w:rPr>
          <w:rFonts w:hint="eastAsia" w:ascii="黑体" w:hAnsi="黑体" w:eastAsia="黑体" w:cs="仿宋_GB2312"/>
          <w:color w:val="000000" w:themeColor="text1"/>
          <w14:textFill>
            <w14:solidFill>
              <w14:schemeClr w14:val="tx1"/>
            </w14:solidFill>
          </w14:textFill>
        </w:rPr>
        <w:t>第十六条　</w:t>
      </w:r>
      <w:r>
        <w:rPr>
          <w:rFonts w:hint="eastAsia" w:ascii="仿宋_GB2312" w:hAnsi="仿宋_GB2312" w:cs="仿宋_GB2312"/>
          <w:color w:val="000000" w:themeColor="text1"/>
          <w14:textFill>
            <w14:solidFill>
              <w14:schemeClr w14:val="tx1"/>
            </w14:solidFill>
          </w14:textFill>
        </w:rPr>
        <w:t>市、区县应急管理部门应当会同有关部门指导应急避难场所产权人或者管理人，做好以下应急避难场所管理维护工作：</w:t>
      </w:r>
    </w:p>
    <w:p w14:paraId="5FCE44E6">
      <w:pPr>
        <w:overflowPunct w:val="0"/>
        <w:adjustRightInd w:val="0"/>
        <w:snapToGrid w:val="0"/>
        <w:spacing w:line="580" w:lineRule="exact"/>
        <w:ind w:firstLine="628" w:firstLineChars="200"/>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（一）建立应急避难场所管理制度，编制相关应急预案，建立应急避难场所设施设备管理维护档案；</w:t>
      </w:r>
    </w:p>
    <w:p w14:paraId="073606AC">
      <w:pPr>
        <w:overflowPunct w:val="0"/>
        <w:adjustRightInd w:val="0"/>
        <w:snapToGrid w:val="0"/>
        <w:spacing w:line="580" w:lineRule="exact"/>
        <w:ind w:firstLine="628" w:firstLineChars="200"/>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（二）维护应急避难场所标志标识，确保外形完好、清晰醒目、方向指示准确；</w:t>
      </w:r>
    </w:p>
    <w:p w14:paraId="3EAAA32A">
      <w:pPr>
        <w:overflowPunct w:val="0"/>
        <w:adjustRightInd w:val="0"/>
        <w:snapToGrid w:val="0"/>
        <w:spacing w:line="580" w:lineRule="exact"/>
        <w:ind w:firstLine="628" w:firstLineChars="200"/>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（三）检查应急避难场所建筑主体结构安全，维护应急避难设施设备，确保应急避难场所正常启用；</w:t>
      </w:r>
    </w:p>
    <w:p w14:paraId="33426251">
      <w:pPr>
        <w:overflowPunct w:val="0"/>
        <w:adjustRightInd w:val="0"/>
        <w:snapToGrid w:val="0"/>
        <w:spacing w:line="580" w:lineRule="exact"/>
        <w:ind w:firstLine="628" w:firstLineChars="200"/>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（四）保持应急避难场所出入口、应急疏散通道畅通；</w:t>
      </w:r>
    </w:p>
    <w:p w14:paraId="14C29206">
      <w:pPr>
        <w:overflowPunct w:val="0"/>
        <w:adjustRightInd w:val="0"/>
        <w:snapToGrid w:val="0"/>
        <w:spacing w:line="580" w:lineRule="exact"/>
        <w:ind w:firstLine="628" w:firstLineChars="200"/>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（五）组织开展本场所应急疏散演练和宣传工作；</w:t>
      </w:r>
    </w:p>
    <w:p w14:paraId="0768A66E">
      <w:pPr>
        <w:overflowPunct w:val="0"/>
        <w:adjustRightInd w:val="0"/>
        <w:snapToGrid w:val="0"/>
        <w:spacing w:line="580" w:lineRule="exact"/>
        <w:ind w:firstLine="628" w:firstLineChars="200"/>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（六）法律、法规、规章规定的其他职责。</w:t>
      </w:r>
    </w:p>
    <w:p w14:paraId="54C590EB">
      <w:pPr>
        <w:overflowPunct w:val="0"/>
        <w:adjustRightInd w:val="0"/>
        <w:snapToGrid w:val="0"/>
        <w:spacing w:line="580" w:lineRule="exact"/>
        <w:ind w:firstLine="628" w:firstLineChars="200"/>
        <w:rPr>
          <w:rFonts w:hint="eastAsia" w:ascii="仿宋_GB2312" w:hAnsi="仿宋_GB2312" w:cs="仿宋_GB2312"/>
          <w:color w:val="000000" w:themeColor="text1"/>
          <w14:textFill>
            <w14:solidFill>
              <w14:schemeClr w14:val="tx1"/>
            </w14:solidFill>
          </w14:textFill>
        </w:rPr>
      </w:pPr>
      <w:r>
        <w:rPr>
          <w:rFonts w:hint="eastAsia" w:ascii="黑体" w:hAnsi="黑体" w:eastAsia="黑体" w:cs="仿宋_GB2312"/>
          <w:color w:val="000000" w:themeColor="text1"/>
          <w14:textFill>
            <w14:solidFill>
              <w14:schemeClr w14:val="tx1"/>
            </w14:solidFill>
          </w14:textFill>
        </w:rPr>
        <w:t>第十七条　</w:t>
      </w:r>
      <w:r>
        <w:rPr>
          <w:rFonts w:hint="eastAsia" w:ascii="仿宋_GB2312" w:hAnsi="仿宋_GB2312" w:cs="仿宋_GB2312"/>
          <w:color w:val="000000" w:themeColor="text1"/>
          <w14:textFill>
            <w14:solidFill>
              <w14:schemeClr w14:val="tx1"/>
            </w14:solidFill>
          </w14:textFill>
        </w:rPr>
        <w:t>市、区县应急管理部门应当会同教育、住房和城乡建设、城乡水务、文化和旅游、卫生健康、体育、国防动员、地震监测等部门或者单位，定期开展应急避难场所管理使用情况评估，加强对应急避难场所规范化动态管理，保障应急避难场所高效能管护和使用。</w:t>
      </w:r>
    </w:p>
    <w:p w14:paraId="3A5561BC">
      <w:pPr>
        <w:overflowPunct w:val="0"/>
        <w:adjustRightInd w:val="0"/>
        <w:snapToGrid w:val="0"/>
        <w:spacing w:line="580" w:lineRule="exact"/>
        <w:ind w:firstLine="628" w:firstLineChars="200"/>
        <w:rPr>
          <w:rFonts w:hint="eastAsia" w:ascii="仿宋_GB2312" w:hAnsi="仿宋_GB2312" w:cs="仿宋_GB2312"/>
          <w:color w:val="000000" w:themeColor="text1"/>
          <w14:textFill>
            <w14:solidFill>
              <w14:schemeClr w14:val="tx1"/>
            </w14:solidFill>
          </w14:textFill>
        </w:rPr>
      </w:pPr>
      <w:r>
        <w:rPr>
          <w:rFonts w:hint="eastAsia" w:ascii="黑体" w:hAnsi="黑体" w:eastAsia="黑体" w:cs="仿宋_GB2312"/>
          <w:color w:val="000000" w:themeColor="text1"/>
          <w14:textFill>
            <w14:solidFill>
              <w14:schemeClr w14:val="tx1"/>
            </w14:solidFill>
          </w14:textFill>
        </w:rPr>
        <w:t>第十八条　</w:t>
      </w:r>
      <w:r>
        <w:rPr>
          <w:rFonts w:hint="eastAsia" w:ascii="仿宋_GB2312" w:hAnsi="仿宋_GB2312" w:cs="仿宋_GB2312"/>
          <w:color w:val="000000" w:themeColor="text1"/>
          <w14:textFill>
            <w14:solidFill>
              <w14:schemeClr w14:val="tx1"/>
            </w14:solidFill>
          </w14:textFill>
        </w:rPr>
        <w:t>市、区县应急管理部门应当会同有关部门或者单位开展应急避难场所资源调查，组织进行场址安全性、防护能力、通达性、功能设施等评估，符合要求的，确定为临时应急避难场所资源，登记造册，规范管理。</w:t>
      </w:r>
    </w:p>
    <w:p w14:paraId="78934561">
      <w:pPr>
        <w:overflowPunct w:val="0"/>
        <w:adjustRightInd w:val="0"/>
        <w:snapToGrid w:val="0"/>
        <w:spacing w:line="580" w:lineRule="exact"/>
        <w:ind w:firstLine="628" w:firstLineChars="200"/>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发生突发事件，常设应急避难场所不能满足需求的，市、区县人民政府有关部门应当优先从登记造册的临时应急避难场所资源中指定符合条件的场所设置为临时应急避难场所。</w:t>
      </w:r>
    </w:p>
    <w:p w14:paraId="44D9A382">
      <w:pPr>
        <w:overflowPunct w:val="0"/>
        <w:adjustRightInd w:val="0"/>
        <w:snapToGrid w:val="0"/>
        <w:spacing w:line="580" w:lineRule="exact"/>
        <w:ind w:firstLine="628" w:firstLineChars="200"/>
        <w:rPr>
          <w:rFonts w:hint="eastAsia" w:ascii="仿宋_GB2312" w:hAnsi="仿宋_GB2312" w:cs="仿宋_GB2312"/>
          <w:color w:val="000000" w:themeColor="text1"/>
          <w14:textFill>
            <w14:solidFill>
              <w14:schemeClr w14:val="tx1"/>
            </w14:solidFill>
          </w14:textFill>
        </w:rPr>
      </w:pPr>
      <w:r>
        <w:rPr>
          <w:rFonts w:hint="eastAsia" w:ascii="黑体" w:hAnsi="黑体" w:eastAsia="黑体" w:cs="仿宋_GB2312"/>
          <w:color w:val="000000" w:themeColor="text1"/>
          <w14:textFill>
            <w14:solidFill>
              <w14:schemeClr w14:val="tx1"/>
            </w14:solidFill>
          </w14:textFill>
        </w:rPr>
        <w:t>第十九条　</w:t>
      </w:r>
      <w:r>
        <w:rPr>
          <w:rFonts w:hint="eastAsia" w:ascii="仿宋_GB2312" w:hAnsi="仿宋_GB2312" w:cs="仿宋_GB2312"/>
          <w:color w:val="000000" w:themeColor="text1"/>
          <w14:textFill>
            <w14:solidFill>
              <w14:schemeClr w14:val="tx1"/>
            </w14:solidFill>
          </w14:textFill>
        </w:rPr>
        <w:t>因突发事件需要启用应急避难场所的，市、区县应急管理部门应当提请本级人民政府作出启用决定，并通过广播、电视、手机短信、电子显示屏、互联网等方式，及时公告应急避难场所的具体地址和到达路径。</w:t>
      </w:r>
    </w:p>
    <w:p w14:paraId="6C628312">
      <w:pPr>
        <w:overflowPunct w:val="0"/>
        <w:adjustRightInd w:val="0"/>
        <w:snapToGrid w:val="0"/>
        <w:spacing w:line="580" w:lineRule="exact"/>
        <w:ind w:firstLine="628" w:firstLineChars="200"/>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紧急情况下，应急避难场所产权人或者管理人应当根据避险需求，立即开放应急避难场所，并及时告知应急管理部门。</w:t>
      </w:r>
    </w:p>
    <w:p w14:paraId="1A4B495F">
      <w:pPr>
        <w:overflowPunct w:val="0"/>
        <w:adjustRightInd w:val="0"/>
        <w:snapToGrid w:val="0"/>
        <w:spacing w:line="580" w:lineRule="exact"/>
        <w:ind w:firstLine="628" w:firstLineChars="200"/>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市应急管理部门可以根据实际需要，依法统筹协调全市应急避难场所的开放使用。</w:t>
      </w:r>
    </w:p>
    <w:p w14:paraId="554A707E">
      <w:pPr>
        <w:overflowPunct w:val="0"/>
        <w:adjustRightInd w:val="0"/>
        <w:snapToGrid w:val="0"/>
        <w:spacing w:line="580" w:lineRule="exact"/>
        <w:ind w:firstLine="628" w:firstLineChars="200"/>
        <w:rPr>
          <w:rFonts w:hint="eastAsia" w:ascii="仿宋_GB2312" w:hAnsi="仿宋_GB2312" w:cs="仿宋_GB2312"/>
          <w:color w:val="000000" w:themeColor="text1"/>
          <w14:textFill>
            <w14:solidFill>
              <w14:schemeClr w14:val="tx1"/>
            </w14:solidFill>
          </w14:textFill>
        </w:rPr>
      </w:pPr>
      <w:r>
        <w:rPr>
          <w:rFonts w:hint="eastAsia" w:ascii="黑体" w:hAnsi="黑体" w:eastAsia="黑体" w:cs="仿宋_GB2312"/>
          <w:color w:val="000000" w:themeColor="text1"/>
          <w14:textFill>
            <w14:solidFill>
              <w14:schemeClr w14:val="tx1"/>
            </w14:solidFill>
          </w14:textFill>
        </w:rPr>
        <w:t>第二十条　</w:t>
      </w:r>
      <w:r>
        <w:rPr>
          <w:rFonts w:hint="eastAsia" w:ascii="仿宋_GB2312" w:hAnsi="仿宋_GB2312" w:cs="仿宋_GB2312"/>
          <w:color w:val="000000" w:themeColor="text1"/>
          <w14:textFill>
            <w14:solidFill>
              <w14:schemeClr w14:val="tx1"/>
            </w14:solidFill>
          </w14:textFill>
        </w:rPr>
        <w:t>启用公告发布后，应急避难场所产权人或者管理人应当立即开放应急避难场所，并配合做好应急避难人员的安置、疏散、救助等相关工作。</w:t>
      </w:r>
    </w:p>
    <w:p w14:paraId="23CA6758">
      <w:pPr>
        <w:overflowPunct w:val="0"/>
        <w:adjustRightInd w:val="0"/>
        <w:snapToGrid w:val="0"/>
        <w:spacing w:line="580" w:lineRule="exact"/>
        <w:ind w:firstLine="628" w:firstLineChars="200"/>
        <w:rPr>
          <w:rFonts w:hint="eastAsia" w:ascii="仿宋_GB2312" w:hAnsi="仿宋_GB2312" w:cs="仿宋_GB2312"/>
          <w:color w:val="000000" w:themeColor="text1"/>
          <w14:textFill>
            <w14:solidFill>
              <w14:schemeClr w14:val="tx1"/>
            </w14:solidFill>
          </w14:textFill>
        </w:rPr>
      </w:pPr>
      <w:r>
        <w:rPr>
          <w:rFonts w:hint="eastAsia" w:ascii="黑体" w:hAnsi="黑体" w:eastAsia="黑体" w:cs="仿宋_GB2312"/>
          <w:color w:val="000000" w:themeColor="text1"/>
          <w14:textFill>
            <w14:solidFill>
              <w14:schemeClr w14:val="tx1"/>
            </w14:solidFill>
          </w14:textFill>
        </w:rPr>
        <w:t>第二十一条　</w:t>
      </w:r>
      <w:r>
        <w:rPr>
          <w:rFonts w:hint="eastAsia" w:ascii="仿宋_GB2312" w:hAnsi="仿宋_GB2312" w:cs="仿宋_GB2312"/>
          <w:color w:val="000000" w:themeColor="text1"/>
          <w14:textFill>
            <w14:solidFill>
              <w14:schemeClr w14:val="tx1"/>
            </w14:solidFill>
          </w14:textFill>
        </w:rPr>
        <w:t>根据紧急避险和转移安置需要，区县人民政府及有关部门可以依法征用符合要求的安全场所作为临时应急避难场所。应急工作结束后，应当及时归还，并按照国家有关规定给予补偿。</w:t>
      </w:r>
    </w:p>
    <w:p w14:paraId="26EB5F15">
      <w:pPr>
        <w:overflowPunct w:val="0"/>
        <w:adjustRightInd w:val="0"/>
        <w:snapToGrid w:val="0"/>
        <w:spacing w:line="580" w:lineRule="exact"/>
        <w:ind w:firstLine="628" w:firstLineChars="200"/>
        <w:rPr>
          <w:rFonts w:hint="eastAsia" w:ascii="仿宋_GB2312" w:hAnsi="仿宋_GB2312" w:cs="仿宋_GB2312"/>
          <w:color w:val="000000" w:themeColor="text1"/>
          <w14:textFill>
            <w14:solidFill>
              <w14:schemeClr w14:val="tx1"/>
            </w14:solidFill>
          </w14:textFill>
        </w:rPr>
      </w:pPr>
      <w:r>
        <w:rPr>
          <w:rFonts w:hint="eastAsia" w:ascii="黑体" w:hAnsi="黑体" w:eastAsia="黑体" w:cs="仿宋_GB2312"/>
          <w:color w:val="000000" w:themeColor="text1"/>
          <w14:textFill>
            <w14:solidFill>
              <w14:schemeClr w14:val="tx1"/>
            </w14:solidFill>
          </w14:textFill>
        </w:rPr>
        <w:t>第二十二条　</w:t>
      </w:r>
      <w:r>
        <w:rPr>
          <w:rFonts w:hint="eastAsia" w:ascii="仿宋_GB2312" w:hAnsi="仿宋_GB2312" w:cs="仿宋_GB2312"/>
          <w:color w:val="000000" w:themeColor="text1"/>
          <w14:textFill>
            <w14:solidFill>
              <w14:schemeClr w14:val="tx1"/>
            </w14:solidFill>
          </w14:textFill>
        </w:rPr>
        <w:t>应急避难场所启用后，区县人民政府及有关部门应当按照相关应急预案要求做好以下工作：</w:t>
      </w:r>
    </w:p>
    <w:p w14:paraId="2EAB6060">
      <w:pPr>
        <w:overflowPunct w:val="0"/>
        <w:adjustRightInd w:val="0"/>
        <w:snapToGrid w:val="0"/>
        <w:spacing w:line="580" w:lineRule="exact"/>
        <w:ind w:firstLine="628" w:firstLineChars="200"/>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（一）开展避难人员登记，设置应急宿住区和物资供应点，保障帐篷、食品、饮用水等基本生活需要；</w:t>
      </w:r>
    </w:p>
    <w:p w14:paraId="7F9D221B">
      <w:pPr>
        <w:overflowPunct w:val="0"/>
        <w:adjustRightInd w:val="0"/>
        <w:snapToGrid w:val="0"/>
        <w:spacing w:line="580" w:lineRule="exact"/>
        <w:ind w:firstLine="628" w:firstLineChars="200"/>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（二）建立临时医疗点，为避难人员提供基本医疗服务，做好应急避难场所的卫生防疫工作；</w:t>
      </w:r>
    </w:p>
    <w:p w14:paraId="4A3260D7">
      <w:pPr>
        <w:overflowPunct w:val="0"/>
        <w:adjustRightInd w:val="0"/>
        <w:snapToGrid w:val="0"/>
        <w:spacing w:line="580" w:lineRule="exact"/>
        <w:ind w:firstLine="628" w:firstLineChars="200"/>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（三）保障应急避难场所的应急供电、供水、通信需要；</w:t>
      </w:r>
    </w:p>
    <w:p w14:paraId="09B9FBD7">
      <w:pPr>
        <w:overflowPunct w:val="0"/>
        <w:adjustRightInd w:val="0"/>
        <w:snapToGrid w:val="0"/>
        <w:spacing w:line="580" w:lineRule="exact"/>
        <w:ind w:firstLine="628" w:firstLineChars="200"/>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（四）配置临时应急厕所和垃圾污物回收设施，做好应急避难场所的环境卫生工作；</w:t>
      </w:r>
    </w:p>
    <w:p w14:paraId="3EFF1184">
      <w:pPr>
        <w:overflowPunct w:val="0"/>
        <w:adjustRightInd w:val="0"/>
        <w:snapToGrid w:val="0"/>
        <w:spacing w:line="580" w:lineRule="exact"/>
        <w:ind w:firstLine="628" w:firstLineChars="200"/>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（五）组织协调运输力量，做好人员、物资的运输工作；</w:t>
      </w:r>
    </w:p>
    <w:p w14:paraId="5A4FC773">
      <w:pPr>
        <w:overflowPunct w:val="0"/>
        <w:adjustRightInd w:val="0"/>
        <w:snapToGrid w:val="0"/>
        <w:spacing w:line="580" w:lineRule="exact"/>
        <w:ind w:firstLine="628" w:firstLineChars="200"/>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（六）维护应急避难场所治安管理秩序；</w:t>
      </w:r>
    </w:p>
    <w:p w14:paraId="41A36018">
      <w:pPr>
        <w:overflowPunct w:val="0"/>
        <w:adjustRightInd w:val="0"/>
        <w:snapToGrid w:val="0"/>
        <w:spacing w:line="580" w:lineRule="exact"/>
        <w:ind w:firstLine="628" w:firstLineChars="200"/>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（七）设立志愿者服务站，组织动员志愿者参与应急避难场所志愿服务活动；</w:t>
      </w:r>
    </w:p>
    <w:p w14:paraId="33AA3FFA">
      <w:pPr>
        <w:overflowPunct w:val="0"/>
        <w:adjustRightInd w:val="0"/>
        <w:snapToGrid w:val="0"/>
        <w:spacing w:line="580" w:lineRule="exact"/>
        <w:ind w:firstLine="628" w:firstLineChars="200"/>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（八）其他需要保障的工作。</w:t>
      </w:r>
    </w:p>
    <w:p w14:paraId="256529B2">
      <w:pPr>
        <w:overflowPunct w:val="0"/>
        <w:adjustRightInd w:val="0"/>
        <w:snapToGrid w:val="0"/>
        <w:spacing w:line="580" w:lineRule="exact"/>
        <w:ind w:firstLine="628" w:firstLineChars="200"/>
        <w:rPr>
          <w:rFonts w:hint="eastAsia" w:ascii="仿宋_GB2312" w:hAnsi="仿宋_GB2312" w:cs="仿宋_GB2312"/>
          <w:color w:val="000000" w:themeColor="text1"/>
          <w14:textFill>
            <w14:solidFill>
              <w14:schemeClr w14:val="tx1"/>
            </w14:solidFill>
          </w14:textFill>
        </w:rPr>
      </w:pPr>
      <w:r>
        <w:rPr>
          <w:rFonts w:hint="eastAsia" w:ascii="黑体" w:hAnsi="黑体" w:eastAsia="黑体" w:cs="仿宋_GB2312"/>
          <w:color w:val="000000" w:themeColor="text1"/>
          <w14:textFill>
            <w14:solidFill>
              <w14:schemeClr w14:val="tx1"/>
            </w14:solidFill>
          </w14:textFill>
        </w:rPr>
        <w:t>第二十三条　</w:t>
      </w:r>
      <w:r>
        <w:rPr>
          <w:rFonts w:hint="eastAsia" w:ascii="仿宋_GB2312" w:hAnsi="仿宋_GB2312" w:cs="仿宋_GB2312"/>
          <w:color w:val="000000" w:themeColor="text1"/>
          <w14:textFill>
            <w14:solidFill>
              <w14:schemeClr w14:val="tx1"/>
            </w14:solidFill>
          </w14:textFill>
        </w:rPr>
        <w:t>应急避难工作结束后，市、区县人民政府应当根据突发事件的影响情况，依法作出关闭应急避难场所的决定并公告。有关部门、单位应当组织避难人员有序撤离，恢复场所原有功能。</w:t>
      </w:r>
    </w:p>
    <w:p w14:paraId="34FD5D45">
      <w:pPr>
        <w:overflowPunct w:val="0"/>
        <w:adjustRightInd w:val="0"/>
        <w:snapToGrid w:val="0"/>
        <w:spacing w:line="580" w:lineRule="exact"/>
        <w:ind w:firstLine="628" w:firstLineChars="200"/>
        <w:rPr>
          <w:rFonts w:hint="eastAsia" w:ascii="仿宋_GB2312" w:hAnsi="仿宋_GB2312" w:cs="仿宋_GB2312"/>
          <w:color w:val="000000" w:themeColor="text1"/>
          <w14:textFill>
            <w14:solidFill>
              <w14:schemeClr w14:val="tx1"/>
            </w14:solidFill>
          </w14:textFill>
        </w:rPr>
      </w:pPr>
      <w:r>
        <w:rPr>
          <w:rFonts w:hint="eastAsia" w:ascii="黑体" w:hAnsi="黑体" w:eastAsia="黑体" w:cs="仿宋_GB2312"/>
          <w:color w:val="000000" w:themeColor="text1"/>
          <w14:textFill>
            <w14:solidFill>
              <w14:schemeClr w14:val="tx1"/>
            </w14:solidFill>
          </w14:textFill>
        </w:rPr>
        <w:t>第二十四条　</w:t>
      </w:r>
      <w:r>
        <w:rPr>
          <w:rFonts w:hint="eastAsia" w:ascii="仿宋_GB2312" w:hAnsi="仿宋_GB2312" w:cs="仿宋_GB2312"/>
          <w:color w:val="000000" w:themeColor="text1"/>
          <w14:textFill>
            <w14:solidFill>
              <w14:schemeClr w14:val="tx1"/>
            </w14:solidFill>
          </w14:textFill>
        </w:rPr>
        <w:t>市、区县人民政府有关部门工作人员违反本办法规定，在应急避难场所管理工作中滥用职权、玩忽职守、徇私舞弊的，依法给予处分；构成犯罪的，依法追究刑事责任。</w:t>
      </w:r>
    </w:p>
    <w:p w14:paraId="76EFDE1B">
      <w:pPr>
        <w:overflowPunct w:val="0"/>
        <w:adjustRightInd w:val="0"/>
        <w:snapToGrid w:val="0"/>
        <w:spacing w:line="580" w:lineRule="exact"/>
        <w:ind w:firstLine="628" w:firstLineChars="200"/>
        <w:rPr>
          <w:rFonts w:hint="eastAsia" w:ascii="仿宋_GB2312" w:hAnsi="仿宋_GB2312" w:cs="仿宋_GB2312"/>
          <w:color w:val="000000" w:themeColor="text1"/>
          <w14:textFill>
            <w14:solidFill>
              <w14:schemeClr w14:val="tx1"/>
            </w14:solidFill>
          </w14:textFill>
        </w:rPr>
      </w:pPr>
      <w:r>
        <w:rPr>
          <w:rFonts w:hint="eastAsia" w:ascii="黑体" w:hAnsi="黑体" w:eastAsia="黑体" w:cs="仿宋_GB2312"/>
          <w:color w:val="000000" w:themeColor="text1"/>
          <w14:textFill>
            <w14:solidFill>
              <w14:schemeClr w14:val="tx1"/>
            </w14:solidFill>
          </w14:textFill>
        </w:rPr>
        <w:t>第二十五条　</w:t>
      </w:r>
      <w:r>
        <w:rPr>
          <w:rFonts w:hint="eastAsia" w:ascii="仿宋_GB2312" w:hAnsi="仿宋_GB2312" w:cs="仿宋_GB2312"/>
          <w:color w:val="000000" w:themeColor="text1"/>
          <w14:textFill>
            <w14:solidFill>
              <w14:schemeClr w14:val="tx1"/>
            </w14:solidFill>
          </w14:textFill>
        </w:rPr>
        <w:t>违反本办法规定，扰乱应急避难场所管理秩序，盗窃、损毁应急避难场所标志标识或者设施设备，构成违反治安管理行为的，由公安机关依法予以处理；构成犯罪的，依法追究刑事责任。</w:t>
      </w:r>
    </w:p>
    <w:p w14:paraId="6B289AEE">
      <w:pPr>
        <w:overflowPunct w:val="0"/>
        <w:adjustRightInd w:val="0"/>
        <w:snapToGrid w:val="0"/>
        <w:spacing w:line="580" w:lineRule="exact"/>
        <w:ind w:firstLine="628" w:firstLineChars="200"/>
        <w:rPr>
          <w:rFonts w:hint="eastAsia" w:ascii="仿宋_GB2312" w:hAnsi="仿宋_GB2312" w:cs="仿宋_GB2312"/>
          <w:color w:val="000000" w:themeColor="text1"/>
          <w14:textFill>
            <w14:solidFill>
              <w14:schemeClr w14:val="tx1"/>
            </w14:solidFill>
          </w14:textFill>
        </w:rPr>
      </w:pPr>
      <w:r>
        <w:rPr>
          <w:rFonts w:hint="eastAsia" w:ascii="黑体" w:hAnsi="黑体" w:eastAsia="黑体" w:cs="仿宋_GB2312"/>
          <w:color w:val="000000" w:themeColor="text1"/>
          <w14:textFill>
            <w14:solidFill>
              <w14:schemeClr w14:val="tx1"/>
            </w14:solidFill>
          </w14:textFill>
        </w:rPr>
        <w:t>第二十六条　</w:t>
      </w:r>
      <w:r>
        <w:rPr>
          <w:rFonts w:hint="eastAsia" w:ascii="仿宋_GB2312" w:hAnsi="仿宋_GB2312" w:cs="仿宋_GB2312"/>
          <w:color w:val="000000" w:themeColor="text1"/>
          <w14:textFill>
            <w14:solidFill>
              <w14:schemeClr w14:val="tx1"/>
            </w14:solidFill>
          </w14:textFill>
        </w:rPr>
        <w:t>济南高新技术产业开发区管理委员会、济南市南部山区管理委员会、济南新旧动能转换起步区管理委员会，按照职责权限执行本办法。</w:t>
      </w:r>
    </w:p>
    <w:p w14:paraId="4CCF48C9">
      <w:pPr>
        <w:overflowPunct w:val="0"/>
        <w:adjustRightInd w:val="0"/>
        <w:snapToGrid w:val="0"/>
        <w:spacing w:line="580" w:lineRule="exact"/>
        <w:ind w:firstLine="628" w:firstLineChars="200"/>
        <w:rPr>
          <w:rFonts w:ascii="仿宋_GB2312" w:hAnsi="仿宋_GB2312" w:cs="仿宋_GB2312"/>
          <w:color w:val="000000" w:themeColor="text1"/>
          <w14:textFill>
            <w14:solidFill>
              <w14:schemeClr w14:val="tx1"/>
            </w14:solidFill>
          </w14:textFill>
        </w:rPr>
      </w:pPr>
      <w:r>
        <w:rPr>
          <w:rFonts w:hint="eastAsia" w:ascii="黑体" w:hAnsi="黑体" w:eastAsia="黑体" w:cs="仿宋_GB2312"/>
          <w:color w:val="000000" w:themeColor="text1"/>
          <w14:textFill>
            <w14:solidFill>
              <w14:schemeClr w14:val="tx1"/>
            </w14:solidFill>
          </w14:textFill>
        </w:rPr>
        <w:t>第二十七条　</w:t>
      </w:r>
      <w:r>
        <w:rPr>
          <w:rFonts w:hint="eastAsia" w:ascii="仿宋_GB2312" w:hAnsi="仿宋_GB2312" w:cs="仿宋_GB2312"/>
          <w:color w:val="000000" w:themeColor="text1"/>
          <w14:textFill>
            <w14:solidFill>
              <w14:schemeClr w14:val="tx1"/>
            </w14:solidFill>
          </w14:textFill>
        </w:rPr>
        <w:t>本办法自2025年11月1日起施行。</w:t>
      </w:r>
    </w:p>
    <w:p w14:paraId="47281864">
      <w:pPr>
        <w:jc w:val="center"/>
        <w:rPr>
          <w:rFonts w:ascii="宋体" w:hAnsi="宋体" w:eastAsia="宋体" w:cs="宋体"/>
          <w:color w:val="000000" w:themeColor="text1"/>
          <w:sz w:val="44"/>
          <w:szCs w:val="44"/>
          <w14:textFill>
            <w14:solidFill>
              <w14:schemeClr w14:val="tx1"/>
            </w14:solidFill>
          </w14:textFill>
        </w:rPr>
      </w:pPr>
    </w:p>
    <w:p w14:paraId="683C9835">
      <w:pPr>
        <w:jc w:val="center"/>
        <w:rPr>
          <w:rFonts w:ascii="宋体" w:hAnsi="宋体" w:eastAsia="宋体" w:cs="宋体"/>
          <w:color w:val="000000" w:themeColor="text1"/>
          <w:sz w:val="44"/>
          <w:szCs w:val="44"/>
          <w14:textFill>
            <w14:solidFill>
              <w14:schemeClr w14:val="tx1"/>
            </w14:solidFill>
          </w14:textFill>
        </w:rPr>
      </w:pPr>
    </w:p>
    <w:p w14:paraId="449FFA1E">
      <w:pPr>
        <w:pStyle w:val="2"/>
        <w:ind w:firstLine="628"/>
        <w:rPr>
          <w:color w:val="000000" w:themeColor="text1"/>
          <w14:textFill>
            <w14:solidFill>
              <w14:schemeClr w14:val="tx1"/>
            </w14:solidFill>
          </w14:textFill>
        </w:rPr>
      </w:pPr>
    </w:p>
    <w:sectPr>
      <w:headerReference r:id="rId3" w:type="default"/>
      <w:footerReference r:id="rId4" w:type="default"/>
      <w:footerReference r:id="rId5" w:type="even"/>
      <w:pgSz w:w="11906" w:h="16838"/>
      <w:pgMar w:top="1985" w:right="1474" w:bottom="1701" w:left="1644" w:header="851" w:footer="992" w:gutter="0"/>
      <w:cols w:space="720" w:num="1"/>
      <w:docGrid w:type="linesAndChars" w:linePitch="597" w:charSpace="-12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AF9427-E0AE-4FF7-B292-FD409DCCBF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10C8B919-C1D0-47AA-A640-45CF90457F75}"/>
  </w:font>
  <w:font w:name="华文中宋">
    <w:altName w:val="宋体"/>
    <w:panose1 w:val="02010600040101010101"/>
    <w:charset w:val="86"/>
    <w:family w:val="auto"/>
    <w:pitch w:val="default"/>
    <w:sig w:usb0="00000000" w:usb1="00000000" w:usb2="00000010" w:usb3="00000000" w:csb0="0004009F" w:csb1="00000000"/>
  </w:font>
  <w:font w:name="Calibri Light">
    <w:panose1 w:val="020F03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3" w:fontKey="{5DFC5BD3-98BB-4806-A267-97840B907E06}"/>
  </w:font>
  <w:font w:name="方正书宋_GBK">
    <w:panose1 w:val="03000509000000000000"/>
    <w:charset w:val="86"/>
    <w:family w:val="script"/>
    <w:pitch w:val="default"/>
    <w:sig w:usb0="00000001" w:usb1="080E0000" w:usb2="00000000" w:usb3="00000000" w:csb0="00040000" w:csb1="00000000"/>
    <w:embedRegular r:id="rId4" w:fontKey="{5D7BA8FD-75B8-4D8A-A6B5-DD463D0B6E8D}"/>
  </w:font>
  <w:font w:name="仿宋">
    <w:panose1 w:val="02010609060101010101"/>
    <w:charset w:val="86"/>
    <w:family w:val="modern"/>
    <w:pitch w:val="default"/>
    <w:sig w:usb0="800002BF" w:usb1="38CF7CFA" w:usb2="00000016" w:usb3="00000000" w:csb0="00040001" w:csb1="00000000"/>
    <w:embedRegular r:id="rId5" w:fontKey="{F1ADB672-C613-41A3-9DCF-0AADBFE6E89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CBFF8">
    <w:pPr>
      <w:pStyle w:val="7"/>
      <w:framePr w:w="1588" w:wrap="notBeside" w:vAnchor="page" w:hAnchor="margin" w:xAlign="outside" w:y="14460"/>
      <w:jc w:val="center"/>
      <w:rPr>
        <w:rStyle w:val="11"/>
        <w:rFonts w:ascii="方正书宋_GBK" w:eastAsia="方正书宋_GBK"/>
        <w:sz w:val="28"/>
        <w:szCs w:val="28"/>
      </w:rPr>
    </w:pPr>
    <w:r>
      <w:rPr>
        <w:rStyle w:val="11"/>
        <w:rFonts w:hint="eastAsia" w:ascii="方正书宋_GBK" w:eastAsia="方正书宋_GBK"/>
        <w:sz w:val="28"/>
        <w:szCs w:val="28"/>
      </w:rPr>
      <w:t xml:space="preserve">— </w:t>
    </w:r>
    <w:r>
      <w:rPr>
        <w:rStyle w:val="11"/>
        <w:rFonts w:hint="eastAsia" w:ascii="方正书宋_GBK" w:eastAsia="方正书宋_GBK"/>
        <w:sz w:val="28"/>
        <w:szCs w:val="28"/>
      </w:rPr>
      <w:fldChar w:fldCharType="begin"/>
    </w:r>
    <w:r>
      <w:rPr>
        <w:rStyle w:val="11"/>
        <w:rFonts w:hint="eastAsia" w:ascii="方正书宋_GBK" w:eastAsia="方正书宋_GBK"/>
        <w:sz w:val="28"/>
        <w:szCs w:val="28"/>
      </w:rPr>
      <w:instrText xml:space="preserve">PAGE  </w:instrText>
    </w:r>
    <w:r>
      <w:rPr>
        <w:rStyle w:val="11"/>
        <w:rFonts w:hint="eastAsia" w:ascii="方正书宋_GBK" w:eastAsia="方正书宋_GBK"/>
        <w:sz w:val="28"/>
        <w:szCs w:val="28"/>
      </w:rPr>
      <w:fldChar w:fldCharType="separate"/>
    </w:r>
    <w:r>
      <w:rPr>
        <w:rStyle w:val="11"/>
        <w:rFonts w:ascii="方正书宋_GBK" w:eastAsia="方正书宋_GBK"/>
        <w:sz w:val="28"/>
        <w:szCs w:val="28"/>
      </w:rPr>
      <w:t>2</w:t>
    </w:r>
    <w:r>
      <w:rPr>
        <w:rStyle w:val="11"/>
        <w:rFonts w:hint="eastAsia" w:ascii="方正书宋_GBK" w:eastAsia="方正书宋_GBK"/>
        <w:sz w:val="28"/>
        <w:szCs w:val="28"/>
      </w:rPr>
      <w:fldChar w:fldCharType="end"/>
    </w:r>
    <w:r>
      <w:rPr>
        <w:rStyle w:val="11"/>
        <w:rFonts w:hint="eastAsia" w:ascii="方正书宋_GBK" w:eastAsia="方正书宋_GBK"/>
        <w:sz w:val="28"/>
        <w:szCs w:val="28"/>
      </w:rPr>
      <w:t xml:space="preserve"> —</w:t>
    </w:r>
  </w:p>
  <w:p w14:paraId="7EED674E">
    <w:pPr>
      <w:pStyle w:val="8"/>
      <w:ind w:left="7296" w:leftChars="2280" w:right="360" w:firstLine="6400" w:firstLineChars="2000"/>
      <w:rPr>
        <w:rFonts w:eastAsia="仿宋"/>
        <w:sz w:val="32"/>
        <w:szCs w:val="48"/>
      </w:rPr>
    </w:pPr>
    <w:r>
      <w:rPr>
        <w:rFonts w:hint="eastAsia" w:eastAsia="仿宋"/>
        <w:sz w:val="32"/>
        <w:szCs w:val="48"/>
      </w:rPr>
      <w:t xml:space="preserve">  </w:t>
    </w:r>
  </w:p>
  <w:p w14:paraId="74A10FD9">
    <w:pPr>
      <w:pStyle w:val="8"/>
      <w:spacing w:before="240" w:beforeLines="1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济南市人民政府发布     </w:t>
    </w:r>
  </w:p>
  <w:p w14:paraId="61E9E30D">
    <w:pPr>
      <w:pStyle w:val="8"/>
      <w:wordWrap w:val="0"/>
      <w:ind w:left="7296" w:leftChars="2280" w:firstLine="5622"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9C1F5">
    <w:pPr>
      <w:pStyle w:val="7"/>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14:paraId="2612B03E">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6648D">
    <w:pPr>
      <w:pStyle w:val="8"/>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14:paraId="407C3AD5">
    <w:pPr>
      <w:pStyle w:val="8"/>
      <w:textAlignment w:val="center"/>
      <w:rPr>
        <w:rFonts w:ascii="宋体" w:hAnsi="宋体" w:eastAsia="宋体" w:cs="宋体"/>
        <w:b/>
        <w:bCs/>
        <w:color w:val="005192"/>
        <w:sz w:val="32"/>
      </w:rPr>
    </w:pPr>
    <w:r>
      <w:rPr>
        <w:rFonts w:hint="eastAsia" w:ascii="宋体" w:hAnsi="宋体" w:eastAsia="宋体" w:cs="宋体"/>
        <w:b/>
        <w:bCs/>
        <w:color w:val="005192"/>
        <w:sz w:val="32"/>
      </w:rPr>
      <w:drawing>
        <wp:inline distT="0" distB="0" distL="114300" distR="114300">
          <wp:extent cx="308610" cy="308610"/>
          <wp:effectExtent l="0" t="0" r="15240" b="15240"/>
          <wp:docPr id="1"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rPr>
      <w:t>济南市人民政府规章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HorizontalSpacing w:val="157"/>
  <w:drawingGridVerticalSpacing w:val="59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zNjhjZjkxMjg2OGJjOTQ0NThhNzBhOGI4YTVmYWYifQ=="/>
  </w:docVars>
  <w:rsids>
    <w:rsidRoot w:val="00172A27"/>
    <w:rsid w:val="000428F7"/>
    <w:rsid w:val="000F6DB6"/>
    <w:rsid w:val="0011773C"/>
    <w:rsid w:val="00172A27"/>
    <w:rsid w:val="003546B4"/>
    <w:rsid w:val="00411F32"/>
    <w:rsid w:val="004B2A69"/>
    <w:rsid w:val="0055311B"/>
    <w:rsid w:val="0063245B"/>
    <w:rsid w:val="006D2552"/>
    <w:rsid w:val="00732854"/>
    <w:rsid w:val="007A78D6"/>
    <w:rsid w:val="00A41EE5"/>
    <w:rsid w:val="00B2116F"/>
    <w:rsid w:val="00B61BE8"/>
    <w:rsid w:val="00C92B56"/>
    <w:rsid w:val="00F41592"/>
    <w:rsid w:val="019E71BD"/>
    <w:rsid w:val="028F7F7C"/>
    <w:rsid w:val="04B679C3"/>
    <w:rsid w:val="056C3BFD"/>
    <w:rsid w:val="0629304A"/>
    <w:rsid w:val="080F63D8"/>
    <w:rsid w:val="09341458"/>
    <w:rsid w:val="0B0912D7"/>
    <w:rsid w:val="0CFE3F9E"/>
    <w:rsid w:val="10CA7C6B"/>
    <w:rsid w:val="152D2DCA"/>
    <w:rsid w:val="17080894"/>
    <w:rsid w:val="1AC429F9"/>
    <w:rsid w:val="1DEC284C"/>
    <w:rsid w:val="1E6523AC"/>
    <w:rsid w:val="1EF54573"/>
    <w:rsid w:val="20C46079"/>
    <w:rsid w:val="21E81D77"/>
    <w:rsid w:val="22440422"/>
    <w:rsid w:val="2BE1741E"/>
    <w:rsid w:val="31A15F24"/>
    <w:rsid w:val="34476B80"/>
    <w:rsid w:val="361A028D"/>
    <w:rsid w:val="395347B5"/>
    <w:rsid w:val="39A232A0"/>
    <w:rsid w:val="39E745AA"/>
    <w:rsid w:val="3B5A6BBB"/>
    <w:rsid w:val="3EDA13A6"/>
    <w:rsid w:val="40DF6A4B"/>
    <w:rsid w:val="42F058B7"/>
    <w:rsid w:val="436109F6"/>
    <w:rsid w:val="441A38D4"/>
    <w:rsid w:val="451707F1"/>
    <w:rsid w:val="4BC77339"/>
    <w:rsid w:val="4C9236C5"/>
    <w:rsid w:val="4EA813AE"/>
    <w:rsid w:val="4F537AB2"/>
    <w:rsid w:val="505C172E"/>
    <w:rsid w:val="50947F24"/>
    <w:rsid w:val="525E163D"/>
    <w:rsid w:val="52F46F0B"/>
    <w:rsid w:val="53D8014D"/>
    <w:rsid w:val="55CF657E"/>
    <w:rsid w:val="55E064E0"/>
    <w:rsid w:val="572C6D10"/>
    <w:rsid w:val="59D06015"/>
    <w:rsid w:val="5DC34279"/>
    <w:rsid w:val="608816D1"/>
    <w:rsid w:val="60EF4E7F"/>
    <w:rsid w:val="665233C1"/>
    <w:rsid w:val="6AD9688B"/>
    <w:rsid w:val="6D0E3F22"/>
    <w:rsid w:val="7C29082D"/>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szCs w:val="22"/>
    </w:rPr>
  </w:style>
  <w:style w:type="paragraph" w:styleId="3">
    <w:name w:val="annotation text"/>
    <w:basedOn w:val="1"/>
    <w:qFormat/>
    <w:uiPriority w:val="0"/>
    <w:pPr>
      <w:jc w:val="left"/>
    </w:pPr>
  </w:style>
  <w:style w:type="paragraph" w:styleId="4">
    <w:name w:val="Body Text"/>
    <w:basedOn w:val="1"/>
    <w:next w:val="5"/>
    <w:qFormat/>
    <w:uiPriority w:val="0"/>
    <w:pPr>
      <w:spacing w:line="700" w:lineRule="exact"/>
      <w:jc w:val="center"/>
    </w:pPr>
    <w:rPr>
      <w:rFonts w:ascii="Times New Roman" w:eastAsia="华文中宋"/>
      <w:sz w:val="44"/>
    </w:rPr>
  </w:style>
  <w:style w:type="paragraph" w:styleId="5">
    <w:name w:val="Title"/>
    <w:basedOn w:val="1"/>
    <w:next w:val="1"/>
    <w:qFormat/>
    <w:uiPriority w:val="10"/>
    <w:pPr>
      <w:spacing w:before="240" w:after="60"/>
      <w:ind w:firstLine="422"/>
      <w:jc w:val="center"/>
      <w:outlineLvl w:val="0"/>
    </w:pPr>
    <w:rPr>
      <w:rFonts w:ascii="Calibri Light" w:hAnsi="Calibri Light" w:eastAsia="宋体"/>
      <w:b/>
      <w:bCs/>
      <w:sz w:val="21"/>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1">
    <w:name w:val="page number"/>
    <w:basedOn w:val="10"/>
    <w:qFormat/>
    <w:uiPriority w:val="0"/>
  </w:style>
  <w:style w:type="paragraph" w:customStyle="1" w:styleId="12">
    <w:name w:val="p"/>
    <w:basedOn w:val="1"/>
    <w:qFormat/>
    <w:uiPriority w:val="0"/>
    <w:pPr>
      <w:spacing w:line="390" w:lineRule="atLeast"/>
      <w:ind w:firstLine="420"/>
    </w:pPr>
  </w:style>
  <w:style w:type="character" w:customStyle="1" w:styleId="13">
    <w:name w:val="any"/>
    <w:basedOn w:val="10"/>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2874</Words>
  <Characters>2888</Characters>
  <Lines>20</Lines>
  <Paragraphs>5</Paragraphs>
  <TotalTime>1</TotalTime>
  <ScaleCrop>false</ScaleCrop>
  <LinksUpToDate>false</LinksUpToDate>
  <CharactersWithSpaces>2917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2025-09-26T08:23:00Z</dcterms:created>
  <dc:creator>t</dc:creator>
  <cp:lastModifiedBy>宫骁锋</cp:lastModifiedBy>
  <cp:lastPrinted>2021-10-26T03:30:00Z</cp:lastPrinted>
  <dcterms:modified xsi:type="dcterms:W3CDTF">2025-10-11T07:27:47Z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FBE9A02BADA74BDBA5FF13DD2A1AD004_13</vt:lpwstr>
  </property>
</Properties>
</file>