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ascii="黑体" w:hAnsi="黑体" w:eastAsia="黑体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《政府</w:t>
      </w:r>
      <w:r>
        <w:rPr>
          <w:rFonts w:ascii="黑体" w:hAnsi="黑体" w:eastAsia="黑体" w:cs="仿宋_GB2312"/>
          <w:sz w:val="34"/>
          <w:szCs w:val="34"/>
        </w:rPr>
        <w:t>工作报告》</w:t>
      </w:r>
      <w:r>
        <w:rPr>
          <w:rFonts w:hint="eastAsia" w:ascii="黑体" w:hAnsi="黑体" w:eastAsia="黑体" w:cs="仿宋_GB2312"/>
          <w:sz w:val="34"/>
          <w:szCs w:val="34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34"/>
          <w:szCs w:val="3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《政府</w:t>
      </w:r>
      <w:r>
        <w:rPr>
          <w:rFonts w:ascii="方正小标宋简体" w:hAnsi="仿宋_GB2312" w:eastAsia="方正小标宋简体" w:cs="仿宋_GB2312"/>
          <w:sz w:val="44"/>
          <w:szCs w:val="44"/>
        </w:rPr>
        <w:t>工作报告》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名词解释</w:t>
      </w:r>
    </w:p>
    <w:bookmarkEnd w:id="0"/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</w:p>
    <w:p>
      <w:pPr>
        <w:pStyle w:val="2"/>
        <w:spacing w:line="600" w:lineRule="exact"/>
        <w:ind w:firstLine="680"/>
        <w:rPr>
          <w:rFonts w:hint="eastAsia"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1.“四早”防控方针：</w:t>
      </w:r>
      <w:r>
        <w:rPr>
          <w:rFonts w:hint="eastAsia" w:ascii="仿宋_GB2312" w:hAnsi="仿宋_GB2312" w:cs="仿宋_GB2312"/>
          <w:sz w:val="34"/>
          <w:szCs w:val="34"/>
        </w:rPr>
        <w:t>即早发现、早报告、早隔离、早治疗。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2.“四集中”救治原则：</w:t>
      </w:r>
      <w:r>
        <w:rPr>
          <w:rFonts w:hint="eastAsia" w:ascii="仿宋_GB2312" w:hAnsi="仿宋_GB2312" w:cs="仿宋_GB2312"/>
          <w:sz w:val="34"/>
          <w:szCs w:val="34"/>
        </w:rPr>
        <w:t>即集中患者、集中专家、集中资源、集中救治。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3.惠企业17条：</w:t>
      </w:r>
      <w:r>
        <w:rPr>
          <w:rFonts w:hint="eastAsia" w:ascii="仿宋_GB2312" w:hAnsi="仿宋_GB2312" w:cs="仿宋_GB2312"/>
          <w:sz w:val="34"/>
          <w:szCs w:val="34"/>
        </w:rPr>
        <w:t>2020年2月4日，市委办公厅、市政府办公厅印发《关于积极应对疫情促进中小微企业健康发展的若干政策意见》，制定出台6个方面17条措施。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4.促消费15条：</w:t>
      </w:r>
      <w:r>
        <w:rPr>
          <w:rFonts w:ascii="仿宋_GB2312" w:hAnsi="仿宋_GB2312" w:cs="仿宋_GB2312"/>
          <w:sz w:val="34"/>
          <w:szCs w:val="34"/>
        </w:rPr>
        <w:t>2020</w:t>
      </w:r>
      <w:r>
        <w:rPr>
          <w:rFonts w:hint="eastAsia" w:ascii="仿宋_GB2312" w:hAnsi="仿宋_GB2312" w:cs="仿宋_GB2312"/>
          <w:sz w:val="34"/>
          <w:szCs w:val="34"/>
        </w:rPr>
        <w:t>年</w:t>
      </w:r>
      <w:r>
        <w:rPr>
          <w:rFonts w:ascii="仿宋_GB2312" w:hAnsi="仿宋_GB2312" w:cs="仿宋_GB2312"/>
          <w:sz w:val="34"/>
          <w:szCs w:val="34"/>
        </w:rPr>
        <w:t>4</w:t>
      </w:r>
      <w:r>
        <w:rPr>
          <w:rFonts w:hint="eastAsia" w:ascii="仿宋_GB2312" w:hAnsi="仿宋_GB2312" w:cs="仿宋_GB2312"/>
          <w:sz w:val="34"/>
          <w:szCs w:val="34"/>
        </w:rPr>
        <w:t>月</w:t>
      </w:r>
      <w:r>
        <w:rPr>
          <w:rFonts w:ascii="仿宋_GB2312" w:hAnsi="仿宋_GB2312" w:cs="仿宋_GB2312"/>
          <w:sz w:val="34"/>
          <w:szCs w:val="34"/>
        </w:rPr>
        <w:t>20日</w:t>
      </w:r>
      <w:r>
        <w:rPr>
          <w:rFonts w:hint="eastAsia" w:ascii="仿宋_GB2312" w:hAnsi="仿宋_GB2312" w:cs="仿宋_GB2312"/>
          <w:sz w:val="34"/>
          <w:szCs w:val="34"/>
        </w:rPr>
        <w:t>，市政府发布《关于促进消费扩容提质进一步激发消费潜力的实施意见》，制定出台6个方面15条措施。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5.稳就业26条：</w:t>
      </w:r>
      <w:r>
        <w:rPr>
          <w:rFonts w:hint="eastAsia" w:ascii="仿宋_GB2312" w:hAnsi="仿宋_GB2312" w:cs="仿宋_GB2312"/>
          <w:sz w:val="34"/>
          <w:szCs w:val="34"/>
        </w:rPr>
        <w:t>2020年3月2日，市政府发布《关于积极应对新冠肺炎疫情进一步做好稳就业工作的实施意见》，制定出台6个方面26条措施。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6.“四进”攻坚行动：</w:t>
      </w:r>
      <w:r>
        <w:rPr>
          <w:rFonts w:hint="eastAsia" w:ascii="仿宋_GB2312" w:hAnsi="仿宋_GB2312" w:cs="仿宋_GB2312"/>
          <w:sz w:val="34"/>
          <w:szCs w:val="34"/>
        </w:rPr>
        <w:t>根据省委、省政府统一部署，2020年3月6日起，选派市区（县）两级机关1090名干部组成218个市派工作组</w:t>
      </w:r>
      <w:r>
        <w:rPr>
          <w:rFonts w:hint="eastAsia" w:ascii="仿宋_GB2312" w:hAnsi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hAnsi="仿宋_GB2312" w:cs="仿宋_GB2312"/>
          <w:sz w:val="34"/>
          <w:szCs w:val="34"/>
        </w:rPr>
        <w:t>到一线开展“进企业、进项目、进乡村、进社区”攻坚行动，统筹推进新冠肺炎疫情防控和经济社会发展工作。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7.“1+474”工作体系：</w:t>
      </w:r>
      <w:r>
        <w:rPr>
          <w:rFonts w:hint="eastAsia" w:ascii="仿宋_GB2312" w:hAnsi="仿宋_GB2312" w:cs="仿宋_GB2312"/>
          <w:sz w:val="34"/>
          <w:szCs w:val="34"/>
        </w:rPr>
        <w:t>“1”是咬定一个目标，即“大强美富通”现代化国际大都市。第一个“4”是建设区域性经济中心、金融中心、物流中心、科创中心“四个中心”;“7”是打好新旧动能转换、城市治理、“双招双引”、营商环境、乡村振兴、生态环保、交通枢纽建设“七大攻坚战”;第二个“4”是守住党风廉政、安全稳定、社会民生、风险防控“四条底线”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8.“四新”经济：</w:t>
      </w:r>
      <w:r>
        <w:rPr>
          <w:rFonts w:hint="eastAsia" w:ascii="仿宋_GB2312" w:hAnsi="仿宋_GB2312" w:cs="仿宋_GB2312"/>
          <w:sz w:val="34"/>
          <w:szCs w:val="34"/>
        </w:rPr>
        <w:t>即“新技术、新产业、新业态、新模式”经济形态。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9.“在泉城·全办成”：</w:t>
      </w:r>
      <w:r>
        <w:rPr>
          <w:rFonts w:hint="eastAsia" w:ascii="仿宋_GB2312" w:hAnsi="仿宋_GB2312" w:cs="仿宋_GB2312"/>
          <w:sz w:val="34"/>
          <w:szCs w:val="34"/>
        </w:rPr>
        <w:t>2019年9月</w:t>
      </w:r>
      <w:r>
        <w:rPr>
          <w:rFonts w:ascii="仿宋_GB2312" w:hAnsi="仿宋_GB2312" w:cs="仿宋_GB2312"/>
          <w:sz w:val="34"/>
          <w:szCs w:val="34"/>
        </w:rPr>
        <w:t>，市</w:t>
      </w:r>
      <w:r>
        <w:rPr>
          <w:rFonts w:hint="eastAsia" w:ascii="仿宋_GB2312" w:hAnsi="仿宋_GB2312" w:cs="仿宋_GB2312"/>
          <w:sz w:val="34"/>
          <w:szCs w:val="34"/>
        </w:rPr>
        <w:t>委、市政府</w:t>
      </w:r>
      <w:r>
        <w:rPr>
          <w:rFonts w:ascii="仿宋_GB2312" w:hAnsi="仿宋_GB2312" w:cs="仿宋_GB2312"/>
          <w:sz w:val="34"/>
          <w:szCs w:val="34"/>
        </w:rPr>
        <w:t>出台《关于推进制度创新加快流程再造 实现</w:t>
      </w:r>
      <w:r>
        <w:rPr>
          <w:rFonts w:hint="eastAsia" w:ascii="仿宋_GB2312" w:hAnsi="仿宋_GB2312" w:cs="仿宋_GB2312"/>
          <w:sz w:val="34"/>
          <w:szCs w:val="34"/>
        </w:rPr>
        <w:t>“</w:t>
      </w:r>
      <w:r>
        <w:rPr>
          <w:rFonts w:ascii="仿宋_GB2312" w:hAnsi="仿宋_GB2312" w:cs="仿宋_GB2312"/>
          <w:sz w:val="34"/>
          <w:szCs w:val="34"/>
        </w:rPr>
        <w:t>在泉城</w:t>
      </w:r>
      <w:r>
        <w:rPr>
          <w:rFonts w:hint="eastAsia" w:ascii="仿宋_GB2312" w:hAnsi="仿宋_GB2312" w:cs="仿宋_GB2312"/>
          <w:sz w:val="34"/>
          <w:szCs w:val="34"/>
        </w:rPr>
        <w:t>·</w:t>
      </w:r>
      <w:r>
        <w:rPr>
          <w:rFonts w:ascii="仿宋_GB2312" w:hAnsi="仿宋_GB2312" w:cs="仿宋_GB2312"/>
          <w:sz w:val="34"/>
          <w:szCs w:val="34"/>
        </w:rPr>
        <w:t>全办成</w:t>
      </w:r>
      <w:r>
        <w:rPr>
          <w:rFonts w:hint="eastAsia" w:ascii="仿宋_GB2312" w:hAnsi="仿宋_GB2312" w:cs="仿宋_GB2312"/>
          <w:sz w:val="34"/>
          <w:szCs w:val="34"/>
        </w:rPr>
        <w:t>”</w:t>
      </w:r>
      <w:r>
        <w:rPr>
          <w:rFonts w:ascii="仿宋_GB2312" w:hAnsi="仿宋_GB2312" w:cs="仿宋_GB2312"/>
          <w:sz w:val="34"/>
          <w:szCs w:val="34"/>
        </w:rPr>
        <w:t>的实施意见》，</w:t>
      </w:r>
      <w:r>
        <w:rPr>
          <w:rFonts w:hint="eastAsia" w:ascii="仿宋_GB2312" w:hAnsi="仿宋_GB2312" w:cs="仿宋_GB2312"/>
          <w:sz w:val="34"/>
          <w:szCs w:val="34"/>
        </w:rPr>
        <w:t>紧扣“在泉城·全办成”这一主题，提出了六个“办”，即“一窗办”“网上办”“就近办”“简化办”“舒心办”“督着办”。</w:t>
      </w:r>
    </w:p>
    <w:p>
      <w:pPr>
        <w:adjustRightInd w:val="0"/>
        <w:snapToGrid w:val="0"/>
        <w:spacing w:line="600" w:lineRule="exact"/>
        <w:ind w:firstLine="68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10.“三桥</w:t>
      </w:r>
      <w:r>
        <w:rPr>
          <w:rFonts w:hint="eastAsia" w:ascii="黑体" w:hAnsi="黑体" w:eastAsia="黑体" w:cs="仿宋_GB2312"/>
          <w:sz w:val="34"/>
          <w:szCs w:val="34"/>
        </w:rPr>
        <w:t>一隧”：</w:t>
      </w:r>
      <w:r>
        <w:rPr>
          <w:rFonts w:hint="eastAsia" w:ascii="仿宋_GB2312" w:hAnsi="仿宋_GB2312" w:eastAsia="仿宋_GB2312" w:cs="仿宋_GB2312"/>
          <w:sz w:val="34"/>
          <w:szCs w:val="34"/>
        </w:rPr>
        <w:t>即齐鲁黄河大桥、凤凰路黄河大桥、济南黄河公路大桥复线工程、济南黄河隧道。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11.城市双修：</w:t>
      </w:r>
      <w:r>
        <w:rPr>
          <w:rFonts w:hint="eastAsia" w:ascii="仿宋_GB2312" w:hAnsi="仿宋_GB2312" w:cs="仿宋_GB2312"/>
          <w:sz w:val="34"/>
          <w:szCs w:val="34"/>
        </w:rPr>
        <w:t>即生态修复、城市修补，是治理“城市病”、改善人居环境、转变城市发展方式的有效手段，有计划有步骤地修复被破坏的山体、河流、湿地、植被。</w:t>
      </w:r>
    </w:p>
    <w:p>
      <w:pPr>
        <w:pStyle w:val="2"/>
        <w:spacing w:line="600" w:lineRule="exact"/>
        <w:ind w:firstLine="680"/>
        <w:rPr>
          <w:rFonts w:ascii="仿宋_GB2312" w:hAnsi="Times New Roman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12.“十化”提升行动：</w:t>
      </w:r>
      <w:r>
        <w:rPr>
          <w:rFonts w:hint="eastAsia" w:ascii="仿宋_GB2312" w:hAnsi="Times New Roman"/>
          <w:sz w:val="34"/>
          <w:szCs w:val="34"/>
        </w:rPr>
        <w:t>2019年4月</w:t>
      </w:r>
      <w:r>
        <w:rPr>
          <w:rFonts w:ascii="仿宋_GB2312" w:hAnsi="Times New Roman"/>
          <w:sz w:val="34"/>
          <w:szCs w:val="34"/>
        </w:rPr>
        <w:t>，市委办公厅</w:t>
      </w:r>
      <w:r>
        <w:rPr>
          <w:rFonts w:hint="eastAsia" w:ascii="仿宋_GB2312" w:hAnsi="Times New Roman"/>
          <w:sz w:val="34"/>
          <w:szCs w:val="34"/>
        </w:rPr>
        <w:t>、</w:t>
      </w:r>
      <w:r>
        <w:rPr>
          <w:rFonts w:ascii="仿宋_GB2312" w:hAnsi="Times New Roman"/>
          <w:sz w:val="34"/>
          <w:szCs w:val="34"/>
        </w:rPr>
        <w:t>市政府办公厅</w:t>
      </w:r>
      <w:r>
        <w:rPr>
          <w:rFonts w:hint="eastAsia" w:ascii="仿宋_GB2312" w:hAnsi="Times New Roman"/>
          <w:sz w:val="34"/>
          <w:szCs w:val="34"/>
        </w:rPr>
        <w:t>印</w:t>
      </w:r>
      <w:r>
        <w:rPr>
          <w:rFonts w:ascii="仿宋_GB2312" w:hAnsi="Times New Roman"/>
          <w:sz w:val="34"/>
          <w:szCs w:val="34"/>
        </w:rPr>
        <w:t>发</w:t>
      </w:r>
      <w:r>
        <w:rPr>
          <w:rFonts w:hint="eastAsia" w:ascii="仿宋_GB2312" w:hAnsi="Times New Roman"/>
          <w:sz w:val="34"/>
          <w:szCs w:val="34"/>
        </w:rPr>
        <w:t>《关于全面开展城市品质“十化”提升行动 加快建设“大强美富通”现代化国际大都市的实施方案》。《方</w:t>
      </w:r>
      <w:r>
        <w:rPr>
          <w:rFonts w:ascii="仿宋_GB2312" w:hAnsi="Times New Roman"/>
          <w:sz w:val="34"/>
          <w:szCs w:val="34"/>
        </w:rPr>
        <w:t>案</w:t>
      </w:r>
      <w:r>
        <w:rPr>
          <w:rFonts w:hint="eastAsia" w:ascii="仿宋_GB2312" w:hAnsi="Times New Roman"/>
          <w:sz w:val="34"/>
          <w:szCs w:val="34"/>
        </w:rPr>
        <w:t>》提出：</w:t>
      </w:r>
      <w:r>
        <w:rPr>
          <w:rFonts w:ascii="仿宋_GB2312" w:hAnsi="Times New Roman"/>
          <w:sz w:val="34"/>
          <w:szCs w:val="34"/>
        </w:rPr>
        <w:t>一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推进城市建设现代化行动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二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推进城市管理精细化行动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三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推进产业发展高端化行动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四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推进对外开放国际化行动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五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推进城市环境生态化行动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六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推进城市运转智慧化行动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七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推进社会治理法治化行动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八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推进市民素质文明化行动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九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推进城乡发展一体化行动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十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推进市民生活幸福化行动</w:t>
      </w:r>
      <w:r>
        <w:rPr>
          <w:rFonts w:hint="eastAsia" w:ascii="仿宋_GB2312" w:hAnsi="Times New Roman"/>
          <w:sz w:val="34"/>
          <w:szCs w:val="34"/>
        </w:rPr>
        <w:t>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13.十大农业特色产业振兴工程：</w:t>
      </w:r>
      <w:r>
        <w:rPr>
          <w:rFonts w:hint="eastAsia" w:ascii="仿宋_GB2312" w:hAnsi="仿宋_GB2312" w:eastAsia="仿宋_GB2312" w:cs="仿宋_GB2312"/>
          <w:sz w:val="34"/>
          <w:szCs w:val="34"/>
        </w:rPr>
        <w:t>2018年8月，市振兴十大农业特色产业工作领导小组印</w:t>
      </w:r>
      <w:r>
        <w:rPr>
          <w:rFonts w:ascii="仿宋_GB2312" w:hAnsi="仿宋_GB2312" w:eastAsia="仿宋_GB2312" w:cs="仿宋_GB2312"/>
          <w:sz w:val="34"/>
          <w:szCs w:val="34"/>
        </w:rPr>
        <w:t>发</w:t>
      </w:r>
      <w:r>
        <w:rPr>
          <w:rFonts w:hint="eastAsia" w:ascii="仿宋_GB2312" w:hAnsi="仿宋_GB2312" w:eastAsia="仿宋_GB2312" w:cs="仿宋_GB2312"/>
          <w:sz w:val="34"/>
          <w:szCs w:val="34"/>
        </w:rPr>
        <w:t>《济南市十大农业特色产业振兴专项规划》。《规</w:t>
      </w:r>
      <w:r>
        <w:rPr>
          <w:rFonts w:ascii="仿宋_GB2312" w:hAnsi="仿宋_GB2312" w:eastAsia="仿宋_GB2312" w:cs="仿宋_GB2312"/>
          <w:sz w:val="34"/>
          <w:szCs w:val="34"/>
        </w:rPr>
        <w:t>划》提出，</w:t>
      </w:r>
      <w:r>
        <w:rPr>
          <w:rFonts w:hint="eastAsia" w:ascii="仿宋_GB2312" w:hAnsi="仿宋_GB2312" w:eastAsia="仿宋_GB2312" w:cs="仿宋_GB2312"/>
          <w:sz w:val="34"/>
          <w:szCs w:val="34"/>
        </w:rPr>
        <w:t>依托平阴玫瑰、章丘大葱、历城草莓、长清寿茶、曲堤黄瓜、商河花卉、高官甜瓜、龙山小米、南山核桃、农高种业等十大特色产业，实施基础设施提升、产业园区创建、规模经营拓展、龙头企业壮大、质量品牌引领、产业跨界融合、美丽田园建设、智慧物流畅通、农业科技展翅、制度供给提效十大振兴行动</w:t>
      </w:r>
      <w:r>
        <w:rPr>
          <w:rFonts w:hint="eastAsia" w:ascii="仿宋_GB2312" w:hAnsi="仿宋_GB2312" w:cs="仿宋_GB2312"/>
          <w:sz w:val="34"/>
          <w:szCs w:val="34"/>
        </w:rPr>
        <w:t>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14.3个省级乡村振兴齐鲁样板示范区：</w:t>
      </w:r>
      <w:r>
        <w:rPr>
          <w:rFonts w:hint="eastAsia" w:ascii="仿宋_GB2312" w:hAnsi="仿宋_GB2312" w:eastAsia="仿宋_GB2312" w:cs="仿宋_GB2312"/>
          <w:sz w:val="34"/>
          <w:szCs w:val="34"/>
        </w:rPr>
        <w:t>2019年8月16日，山东省农业农村厅发布《关于批准创建2019年乡村振兴齐鲁样板省级示范区的通知》，济南市历城区“莓丽谷”示范区、济南市章丘区三涧溪示范区、济南市平阴县“玉带玫香”示范区入选。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15.“双</w:t>
      </w:r>
      <w:r>
        <w:rPr>
          <w:rFonts w:hint="eastAsia" w:ascii="黑体" w:hAnsi="黑体" w:eastAsia="黑体" w:cs="仿宋_GB2312"/>
          <w:sz w:val="34"/>
          <w:szCs w:val="34"/>
        </w:rPr>
        <w:t>创19条”：</w:t>
      </w:r>
      <w:r>
        <w:rPr>
          <w:rFonts w:hint="eastAsia" w:ascii="仿宋_GB2312" w:hAnsi="仿宋_GB2312" w:eastAsia="仿宋_GB2312" w:cs="仿宋_GB2312"/>
          <w:sz w:val="34"/>
          <w:szCs w:val="34"/>
        </w:rPr>
        <w:t>2019年9月，济南市8部门联合印发《关于支持人才创新创业发展的若干政策》，推出更大力度吸引支持各类人才来济创新创业发展、全面提升我市人才政策竞争力、打造省会人才发展集聚新高地的19条举措。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16.“三区三线”：</w:t>
      </w:r>
      <w:r>
        <w:rPr>
          <w:rFonts w:hint="eastAsia" w:ascii="仿宋_GB2312" w:hAnsi="仿宋_GB2312" w:cs="仿宋_GB2312"/>
          <w:sz w:val="34"/>
          <w:szCs w:val="34"/>
        </w:rPr>
        <w:t>即城镇、农业、生态空间和生态保护红线、永久基本农田保护红线、城镇开发边界。</w:t>
      </w:r>
    </w:p>
    <w:p>
      <w:pPr>
        <w:pStyle w:val="2"/>
        <w:spacing w:line="600" w:lineRule="exact"/>
        <w:ind w:firstLine="680"/>
        <w:rPr>
          <w:rFonts w:ascii="仿宋_GB2312" w:hAnsi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17.“数据黄河”工程：</w:t>
      </w:r>
      <w:r>
        <w:rPr>
          <w:rFonts w:hint="eastAsia" w:ascii="仿宋_GB2312" w:hAnsi="黑体"/>
          <w:sz w:val="34"/>
          <w:szCs w:val="34"/>
        </w:rPr>
        <w:t>根据《数字山东发展规划（2018-2022年）》，在先行区建设济南黄河大数据中心，计划到2022年形成服务政务、商务、民用、科研等领域海量存储的大数据分析能力。</w:t>
      </w:r>
    </w:p>
    <w:p>
      <w:pPr>
        <w:pStyle w:val="2"/>
        <w:spacing w:line="600" w:lineRule="exact"/>
        <w:ind w:firstLine="680"/>
        <w:rPr>
          <w:rFonts w:ascii="仿宋_GB2312" w:hAnsi="Times New Roman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18.“三个百分之百”：</w:t>
      </w:r>
      <w:r>
        <w:rPr>
          <w:rFonts w:hint="eastAsia" w:ascii="仿宋_GB2312" w:hAnsi="仿宋_GB2312" w:cs="仿宋_GB2312"/>
          <w:sz w:val="34"/>
          <w:szCs w:val="34"/>
        </w:rPr>
        <w:t>即</w:t>
      </w:r>
      <w:r>
        <w:rPr>
          <w:rFonts w:hint="eastAsia" w:ascii="仿宋_GB2312" w:hAnsi="Times New Roman"/>
          <w:sz w:val="34"/>
          <w:szCs w:val="34"/>
        </w:rPr>
        <w:t>对所有境外入济人员实行</w:t>
      </w:r>
      <w:r>
        <w:rPr>
          <w:rFonts w:hint="eastAsia"/>
          <w:sz w:val="34"/>
          <w:szCs w:val="34"/>
        </w:rPr>
        <w:t>百分之百</w:t>
      </w:r>
      <w:r>
        <w:rPr>
          <w:rFonts w:hint="eastAsia" w:ascii="仿宋_GB2312" w:hAnsi="Times New Roman"/>
          <w:sz w:val="34"/>
          <w:szCs w:val="34"/>
        </w:rPr>
        <w:t>集中隔离、</w:t>
      </w:r>
      <w:r>
        <w:rPr>
          <w:rFonts w:hint="eastAsia"/>
          <w:sz w:val="34"/>
          <w:szCs w:val="34"/>
        </w:rPr>
        <w:t>百分之百</w:t>
      </w:r>
      <w:r>
        <w:rPr>
          <w:rFonts w:hint="eastAsia" w:ascii="仿宋_GB2312" w:hAnsi="Times New Roman"/>
          <w:sz w:val="34"/>
          <w:szCs w:val="34"/>
        </w:rPr>
        <w:t>核酸检测、</w:t>
      </w:r>
      <w:r>
        <w:rPr>
          <w:rFonts w:hint="eastAsia"/>
          <w:sz w:val="34"/>
          <w:szCs w:val="34"/>
        </w:rPr>
        <w:t>百分之百</w:t>
      </w:r>
      <w:r>
        <w:rPr>
          <w:rFonts w:hint="eastAsia" w:ascii="仿宋_GB2312" w:hAnsi="Times New Roman"/>
          <w:sz w:val="34"/>
          <w:szCs w:val="34"/>
        </w:rPr>
        <w:t>跟踪管理。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" w:eastAsia="仿宋_GB2312" w:cs="宋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19.科技成果转移转化“1+6+N”平台：</w:t>
      </w:r>
      <w:r>
        <w:rPr>
          <w:rFonts w:hint="eastAsia" w:ascii="仿宋_GB2312" w:hAnsi="楷体" w:eastAsia="仿宋_GB2312" w:cs="宋体"/>
          <w:sz w:val="34"/>
          <w:szCs w:val="34"/>
        </w:rPr>
        <w:t>以省市共建的山东省技术成果交易中心1个平台为核心，联合专业科技服务机构提供6个服务模块（即</w:t>
      </w:r>
      <w:r>
        <w:rPr>
          <w:rFonts w:hint="eastAsia" w:ascii="Times New Roman" w:hAnsi="Times New Roman" w:eastAsia="仿宋_GB2312"/>
          <w:sz w:val="34"/>
          <w:szCs w:val="34"/>
        </w:rPr>
        <w:t>科技成果评估鉴定服务、挂牌交易服务、知识产权服务、科技金融服务、园区落地服务、技术经纪业态培育服务），</w:t>
      </w:r>
      <w:r>
        <w:rPr>
          <w:rFonts w:hint="eastAsia" w:ascii="仿宋_GB2312" w:hAnsi="楷体" w:eastAsia="仿宋_GB2312" w:cs="宋体"/>
          <w:sz w:val="34"/>
          <w:szCs w:val="34"/>
        </w:rPr>
        <w:t>服务N家高校、科研院所，为科技成果转化提供全流程、一站式、需求导向的生态体系式服务</w:t>
      </w:r>
      <w:r>
        <w:rPr>
          <w:rFonts w:hint="eastAsia" w:ascii="仿宋_GB2312" w:hAnsi="仿宋" w:eastAsia="仿宋_GB2312" w:cs="宋体"/>
          <w:sz w:val="34"/>
          <w:szCs w:val="34"/>
        </w:rPr>
        <w:t>。</w:t>
      </w:r>
    </w:p>
    <w:p>
      <w:pPr>
        <w:pStyle w:val="2"/>
        <w:spacing w:line="600" w:lineRule="exact"/>
        <w:ind w:firstLine="680"/>
        <w:rPr>
          <w:rFonts w:ascii="仿宋_GB2312" w:hAnsi="楷体" w:cs="宋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20.审批服务“四维协同”机制：</w:t>
      </w:r>
      <w:r>
        <w:rPr>
          <w:rFonts w:hint="eastAsia" w:ascii="仿宋_GB2312" w:hAnsi="楷体" w:cs="宋体"/>
          <w:sz w:val="34"/>
          <w:szCs w:val="34"/>
        </w:rPr>
        <w:t>在行政审批服务工作中，建立内部业务、横向部门、纵向层级和社会多元主体四个维度协同配合的服务模式，将相对集中行政许可权体制优势转变为治理效能和服务优势，形成全市上下齐抓共管、协作联动的“审批服务共同体”。</w:t>
      </w:r>
    </w:p>
    <w:p>
      <w:pPr>
        <w:pStyle w:val="2"/>
        <w:spacing w:line="600" w:lineRule="exact"/>
        <w:ind w:firstLine="680"/>
        <w:rPr>
          <w:rFonts w:ascii="仿宋_GB2312" w:hAnsi="Times New Roman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21.“五减”改革：</w:t>
      </w:r>
      <w:r>
        <w:rPr>
          <w:rFonts w:hint="eastAsia" w:ascii="仿宋_GB2312" w:hAnsi="Times New Roman"/>
          <w:sz w:val="34"/>
          <w:szCs w:val="34"/>
        </w:rPr>
        <w:t>即减材料、减证明、减环节、减时限、减费用。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2</w:t>
      </w:r>
      <w:r>
        <w:rPr>
          <w:rFonts w:hint="eastAsia" w:ascii="黑体" w:hAnsi="黑体" w:eastAsia="黑体" w:cs="黑体"/>
          <w:sz w:val="34"/>
          <w:szCs w:val="34"/>
        </w:rPr>
        <w:t>.“五方协同精准联控”机制：</w:t>
      </w:r>
      <w:r>
        <w:rPr>
          <w:rFonts w:hint="eastAsia" w:ascii="仿宋_GB2312" w:hAnsi="仿宋_GB2312" w:cs="仿宋_GB2312"/>
          <w:sz w:val="34"/>
          <w:szCs w:val="34"/>
        </w:rPr>
        <w:t>坚持“花钱共问效”原则，在市委领导下，建立市人大、市纪委监委、市委组织部、市财政局、市审计局等五</w:t>
      </w:r>
      <w:r>
        <w:rPr>
          <w:rFonts w:ascii="仿宋_GB2312" w:hAnsi="仿宋_GB2312" w:cs="仿宋_GB2312"/>
          <w:sz w:val="34"/>
          <w:szCs w:val="34"/>
        </w:rPr>
        <w:t>方</w:t>
      </w:r>
      <w:r>
        <w:rPr>
          <w:rFonts w:hint="eastAsia" w:ascii="仿宋_GB2312" w:hAnsi="仿宋_GB2312" w:cs="仿宋_GB2312"/>
          <w:sz w:val="34"/>
          <w:szCs w:val="34"/>
        </w:rPr>
        <w:t>协同联动的工作机制，实施联席会议制度，打造绩效管理“专网平台”，形成共管共治合力，推动建立所有政府部门单位以及全社会“共问效”机制体系，逐步实现无缝隙、全覆盖的“阳光绩效监控”，确保花好用好公共财政的每一分钱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3</w:t>
      </w:r>
      <w:r>
        <w:rPr>
          <w:rFonts w:hint="eastAsia" w:ascii="黑体" w:hAnsi="黑体" w:eastAsia="黑体" w:cs="仿宋_GB2312"/>
          <w:sz w:val="34"/>
          <w:szCs w:val="34"/>
        </w:rPr>
        <w:t>.“一网四库一平台”：</w:t>
      </w:r>
      <w:r>
        <w:rPr>
          <w:rFonts w:hint="eastAsia" w:ascii="仿宋_GB2312" w:hAnsi="仿宋_GB2312" w:cs="仿宋_GB2312"/>
          <w:sz w:val="34"/>
          <w:szCs w:val="34"/>
        </w:rPr>
        <w:t>“一网”即信用中国（山东济南）网站，“四库”分别为企业法人数据库、非企业法人数据库、自然人数据库和红黑名单数据库，“一平台”即济南市公共信用信息平台。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4</w:t>
      </w:r>
      <w:r>
        <w:rPr>
          <w:rFonts w:hint="eastAsia" w:ascii="黑体" w:hAnsi="黑体" w:eastAsia="黑体" w:cs="仿宋_GB2312"/>
          <w:sz w:val="34"/>
          <w:szCs w:val="34"/>
        </w:rPr>
        <w:t>.“五位一体”融资服务体系：</w:t>
      </w:r>
      <w:r>
        <w:rPr>
          <w:rFonts w:hint="eastAsia" w:ascii="仿宋_GB2312" w:hAnsi="仿宋_GB2312" w:cs="仿宋_GB2312"/>
          <w:sz w:val="34"/>
          <w:szCs w:val="34"/>
        </w:rPr>
        <w:t>主要指通过贷款风险补偿机制、转贷引导基金、政策性担保机制、数字金融“一贷通”、特色服务平台有机结合，有效破解企业融资难融资贵问题，推动中小微企业健康发展。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5</w:t>
      </w:r>
      <w:r>
        <w:rPr>
          <w:rFonts w:hint="eastAsia" w:ascii="黑体" w:hAnsi="黑体" w:eastAsia="黑体" w:cs="仿宋_GB2312"/>
          <w:sz w:val="34"/>
          <w:szCs w:val="34"/>
        </w:rPr>
        <w:t>.“三环十二射”高速路网：</w:t>
      </w:r>
      <w:r>
        <w:rPr>
          <w:rFonts w:hint="eastAsia" w:ascii="仿宋_GB2312" w:hAnsi="仿宋_GB2312" w:cs="仿宋_GB2312"/>
          <w:sz w:val="34"/>
          <w:szCs w:val="34"/>
        </w:rPr>
        <w:t>“三环”指内环线、中环线、外环线，内环线由济广高速公路零点立交至天桥段和二环高架路东环线、南环线、西环线构成；中环线起自小许家枢纽至济南东立交，向北经京台高速至晏城枢纽，向东利用绕城高速至表白寺枢纽，向南至小许家枢纽；外环线由济南至高青高速公路济南段、绕城高速二环线东环段、南环段、西环段及北环段组成。“十二射”指12条高速公路，即济南—淄博—青岛、济南—潍坊—青岛、济南—莱芜—上海、济南—泰安—上海、济南—泰安—福州、济南—菏泽—广州、济南—聊城—兰州、济南—石家庄—银川、济南—德州—北京、济南—天津—北京、济南—滨州—沈阳、济南—东营—烟台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6</w:t>
      </w:r>
      <w:r>
        <w:rPr>
          <w:rFonts w:hint="eastAsia" w:ascii="黑体" w:hAnsi="黑体" w:eastAsia="黑体" w:cs="黑体"/>
          <w:sz w:val="34"/>
          <w:szCs w:val="34"/>
        </w:rPr>
        <w:t>.“三高”沿线：</w:t>
      </w:r>
      <w:r>
        <w:rPr>
          <w:rFonts w:hint="eastAsia" w:ascii="仿宋_GB2312" w:hAnsi="仿宋_GB2312" w:cs="仿宋_GB2312"/>
          <w:sz w:val="34"/>
          <w:szCs w:val="34"/>
        </w:rPr>
        <w:t>即高架路、高速公路、高铁沿线。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7</w:t>
      </w:r>
      <w:r>
        <w:rPr>
          <w:rFonts w:hint="eastAsia" w:ascii="黑体" w:hAnsi="黑体" w:eastAsia="黑体" w:cs="仿宋_GB2312"/>
          <w:sz w:val="34"/>
          <w:szCs w:val="34"/>
        </w:rPr>
        <w:t>.</w:t>
      </w:r>
      <w:r>
        <w:rPr>
          <w:rFonts w:hint="eastAsia" w:ascii="黑体" w:hAnsi="黑体" w:eastAsia="黑体" w:cs="黑体"/>
          <w:sz w:val="34"/>
          <w:szCs w:val="34"/>
        </w:rPr>
        <w:t>“六场攻坚战”：</w:t>
      </w:r>
      <w:r>
        <w:rPr>
          <w:rFonts w:hint="eastAsia" w:ascii="仿宋_GB2312" w:hAnsi="仿宋_GB2312" w:cs="仿宋_GB2312"/>
          <w:sz w:val="34"/>
          <w:szCs w:val="34"/>
        </w:rPr>
        <w:t>即线索核查、大案侦破、除根断流、案件诉讼、行业治理、长效常治。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8</w:t>
      </w:r>
      <w:r>
        <w:rPr>
          <w:rFonts w:hint="eastAsia" w:ascii="黑体" w:hAnsi="黑体" w:eastAsia="黑体" w:cs="黑体"/>
          <w:sz w:val="34"/>
          <w:szCs w:val="34"/>
        </w:rPr>
        <w:t>.“</w:t>
      </w:r>
      <w:r>
        <w:rPr>
          <w:rFonts w:hint="eastAsia" w:ascii="黑体" w:hAnsi="黑体" w:eastAsia="黑体" w:cs="仿宋_GB2312"/>
          <w:sz w:val="34"/>
          <w:szCs w:val="34"/>
        </w:rPr>
        <w:t>四一示范创建活动”：</w:t>
      </w:r>
      <w:r>
        <w:rPr>
          <w:rFonts w:hint="eastAsia" w:ascii="仿宋_GB2312" w:hAnsi="仿宋_GB2312" w:cs="仿宋_GB2312"/>
          <w:sz w:val="34"/>
          <w:szCs w:val="34"/>
        </w:rPr>
        <w:t>2019年11月</w:t>
      </w:r>
      <w:r>
        <w:rPr>
          <w:rFonts w:ascii="仿宋_GB2312" w:hAnsi="仿宋_GB2312" w:cs="仿宋_GB2312"/>
          <w:sz w:val="34"/>
          <w:szCs w:val="34"/>
        </w:rPr>
        <w:t>，</w:t>
      </w:r>
      <w:r>
        <w:rPr>
          <w:rFonts w:hint="eastAsia" w:ascii="仿宋_GB2312" w:hAnsi="仿宋_GB2312" w:cs="仿宋_GB2312"/>
          <w:sz w:val="34"/>
          <w:szCs w:val="34"/>
        </w:rPr>
        <w:t>市委农业农村委员会办公室印</w:t>
      </w:r>
      <w:r>
        <w:rPr>
          <w:rFonts w:ascii="仿宋_GB2312" w:hAnsi="仿宋_GB2312" w:cs="仿宋_GB2312"/>
          <w:sz w:val="34"/>
          <w:szCs w:val="34"/>
        </w:rPr>
        <w:t>发《</w:t>
      </w:r>
      <w:r>
        <w:rPr>
          <w:rFonts w:hint="eastAsia" w:ascii="仿宋_GB2312" w:hAnsi="仿宋_GB2312" w:cs="仿宋_GB2312"/>
          <w:sz w:val="34"/>
          <w:szCs w:val="34"/>
        </w:rPr>
        <w:t>关于开展“四一示范创建活动”扎实推进美丽乡村建设的实施意见</w:t>
      </w:r>
      <w:r>
        <w:rPr>
          <w:rFonts w:ascii="仿宋_GB2312" w:hAnsi="仿宋_GB2312" w:cs="仿宋_GB2312"/>
          <w:sz w:val="34"/>
          <w:szCs w:val="34"/>
        </w:rPr>
        <w:t>》</w:t>
      </w:r>
      <w:r>
        <w:rPr>
          <w:rFonts w:hint="eastAsia" w:ascii="仿宋_GB2312" w:hAnsi="仿宋_GB2312" w:cs="仿宋_GB2312"/>
          <w:sz w:val="34"/>
          <w:szCs w:val="34"/>
        </w:rPr>
        <w:t>。《意见》</w:t>
      </w:r>
      <w:r>
        <w:rPr>
          <w:rFonts w:ascii="仿宋_GB2312" w:hAnsi="仿宋_GB2312" w:cs="仿宋_GB2312"/>
          <w:sz w:val="34"/>
          <w:szCs w:val="34"/>
        </w:rPr>
        <w:t>提出，</w:t>
      </w:r>
      <w:r>
        <w:rPr>
          <w:rFonts w:hint="eastAsia" w:ascii="仿宋_GB2312" w:hAnsi="仿宋_GB2312" w:cs="仿宋_GB2312"/>
          <w:sz w:val="34"/>
          <w:szCs w:val="34"/>
        </w:rPr>
        <w:t>打造1个农村人居环境整治示范区（县）、10个美丽乡村示范镇（街）、100个美丽乡村示范村和1000个清洁村庄。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29</w:t>
      </w:r>
      <w:r>
        <w:rPr>
          <w:rFonts w:hint="eastAsia" w:ascii="黑体" w:hAnsi="黑体" w:eastAsia="黑体" w:cs="仿宋_GB2312"/>
          <w:sz w:val="34"/>
          <w:szCs w:val="34"/>
        </w:rPr>
        <w:t>.“三项制度”：</w:t>
      </w:r>
      <w:r>
        <w:rPr>
          <w:rFonts w:hint="eastAsia" w:ascii="仿宋_GB2312" w:hAnsi="仿宋_GB2312" w:eastAsia="仿宋_GB2312" w:cs="仿宋_GB2312"/>
          <w:sz w:val="34"/>
          <w:szCs w:val="34"/>
        </w:rPr>
        <w:t>即行政执法公示制度、执法全过程记录制度、重大执法决定法制审核制度。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544FF"/>
    <w:rsid w:val="32E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2020-05-26T04:28:00Z</dcterms:created>
  <dc:creator>阿里情深</dc:creator>
  <cp:lastModifiedBy>阿里情深</cp:lastModifiedBy>
  <dcterms:modified xsi:type="dcterms:W3CDTF">2020-05-26T04:29:15Z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