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4"/>
          <w:szCs w:val="34"/>
        </w:rPr>
        <w:t>《政府</w:t>
      </w:r>
      <w:r>
        <w:rPr>
          <w:rFonts w:ascii="黑体" w:hAnsi="黑体" w:eastAsia="黑体" w:cs="仿宋_GB2312"/>
          <w:sz w:val="34"/>
          <w:szCs w:val="34"/>
        </w:rPr>
        <w:t>工作报告》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Calibri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kern w:val="0"/>
          <w:sz w:val="44"/>
          <w:szCs w:val="44"/>
        </w:rPr>
        <w:t>2019年度为民办实事事项完成情况</w:t>
      </w: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Calibri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2019年以来，民生实事各承担部门按照市委、市政府工作部署，进一步加大民生投入，积极行动，加快推进，为民办20件实事顺利完成。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一、中小学校、幼儿园建设（市教育局负责）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新开工建设中小学70所，幼儿园70所。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全市已开工建设中小学、幼儿园140所，完成全年任务。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二、中小学校体育场馆向社会限时开放（市教育局负责）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在全市遴选70所具备条件的中小学校作为试点，将其体育场馆在课余时间和节假日向社会开放。制定场馆开放管理办法。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72所中小学校体育场馆已经完成物理安全隔离等配套设施改造，对外开放。制定了包括场馆开放管理办法在内的实施方案。此项任务已经完成。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三、完善城区路网建设（原市交通运输委负责）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完成港九路、创业路、雪山路等30条重点道路工程。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港九路、创业路、雪山路等30条重点道路已全部建成通车，进一步完善了城区路网。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四、公交线网优化（原市交通运输委负责）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动态推进普通公交线网优化,开通、优化公交线路20条以上;继续加大定制公交推广力度，满足不同层次公交出行需求。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2019年新开通运营公交路线37条，新开“B”字头公交线路15条，实现与BRT免费零换乘；优化调整线路40余条，延长200余条公交线路运营时间；开启“互联网+公交”出行服务的全新模式，全年开通定制公交300余条。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五、推动轨道交通R3线年内通车（济南轨道交通集团负责）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加快推动轨道交通建设，R3线2019年10月1日前通车。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3号线（R3线一期）已于2019年9月28日通车运行。此项工作已经完成。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六、开展城区排污管网普查及雨污分流改造（市水务局负责）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开展城区排污管网普查及雨污分流改造。对排污管网混接点进行普查，编制实施方案；实施羊头峪西沟、丁家庄沟、万盛大沟等河道雨污分流改造45公里。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完成城区内混接点调查核实，完成实施方案编制；完成羊头峪西沟、丁家庄沟、万盛大沟等雨污分流改造工程，共45公里。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七、城区山体公园建设和山体绿化提升（原市林业和城乡绿化局负责）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续建城区山体公园20处，实施27座山体绿化提升。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20处续建山体公园、27座山体绿化提升项目完成年度任务总量的100%。此项工作已经完成。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八、老旧小区整治改造（原市住房保障管理局负责）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完成352个项目共725万平方米、9.5万余户老旧住宅小区整治改造工作。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全市开工率100%，竣工率100%。此项工作已经完成。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九、既有住宅增设电梯（原市住房保障管理局负责）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完成既有住宅增设电梯200部。制定管理办法。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重新修订印发了《济南市既有住宅增设电梯办法》。市内五区共342个单位完成规划审查手续，实际开工建设294个单元，266部电梯已竣工验收合格，发放财政补助资金3923.75万元，完成全年任务。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十、街面、店铺环境卫生管理（原市城管局负责）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深入推进市容环境治理，实行主次道路墙根至墙根范围内全覆盖管理与保洁，统筹推进既有主次干道架空线缆入地，严厉打击非法小广告、疏堵结合治理占道经营、综合施策狠抓露天烧烤，集中解决118条（段）市区主次干道两侧“脏乱差”问题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对118条（段）主次干道， 306公里的街面、店铺开展了市容环境治理，推进线缆整治、处置占道经营等工作，已打造示范道路12条。此项工作已经完成。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十一、农村环境治理（原市城管局负责）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在巩固“村收集、街办（镇）转运，市（区县）处理”的生活垃圾收运处理体系的基础上，积极开展农村生活垃圾分类试点；同时加大农村道路机械化保洁力度，到2019年底全市农村实施道路机械化保洁的镇（街）驻地占比达到85%以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在历城区、章丘区、南山区的6个街道开展农村生活垃圾分类示范创建，全市涉农各区县实施机械化保洁的涉农街镇驻地占比达到85.09%。已经完成任务。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十二、基于全民健康信息平台建立市民个人健康信息管理系统（原市卫计委负责）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出台个人健康信息（含电子病历）管理办法，实现市民个人健康信息无障碍安全查询，试点推行市级及以下医院病历互认。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15家委属医院电子病历和11个区县电子健康档案全部向居民开放，初步实现电子健康档案、电子病历、检验检查结果的共享，初步实现全民健康信息平台互联互通，完成了健康档案浏览器、数据质控等8个子系统的部署与应用。电子健康卡发卡量突破180万张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十三、建立疫苗和预防接种管理全程追溯体系（原市卫计委负责）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建立疫苗流通全程管理、预防接种门诊全域管控和预防接种全方位服务体系。市民可以通过门诊、手机APP、网站客户端、微信公众号等平台，实时掌握孩子预防接种信息，享受预防接种提醒、预约、接种、缴费、留观全程点对点服务，个性化免疫策略服务和预防接种相关证明开具“零跑腿”服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疫苗追溯体系相关平台、集中仓储和配送平台、硬件设备等所有项目已经挂网招标。疫苗集中仓储和配送系统改造基本完成。第三方物流直配试点基本完成。电子健康卡替代预防接种卡系统改造和试点工作完成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十四、泉城书房建设（原市文广新局负责）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建设“泉城书房”12家（历下、天桥、市中、槐荫、历城分别建设2个；莱芜区、钢城区分别建设1个），打造市民家门口的现代休闲时尚阅读空间。制定管理办法。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印发了《关于建设济南市“泉城书房”实施方案》，第一批历城区全福街道、市中区山景园、槐荫区和谐嘉园、大明湖超然楼等6个书房建设完成已经开放。第二批槐荫、钢城、市中、历城区、莱芜区等6个书房也已建成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十五、打造泉城公共图书馆联盟（原市文广新局、市教育局负责）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建立泉城公共图书馆联盟，实现各联盟单位系统兼容，通过购买服务方式，委托第三方负责图书流通，实现联盟单位之间图书通借通还。试点推进驻济高校图书馆向社会开放。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多次召开驻济高校图书馆对社会开放工作调研座谈会，研究对社会免费开放等事宜，达成初步共识。联盟技术平台的搭建工作已完成。此项工作已经完成。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十六、完善养老服务设施建设（市民政局负责）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实施养老服务设施建设计划，年内新建各类养老服务设施不少于163处。制定管理办法。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已建成163处养老服务设施。此项工作已经完成。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十七、深化提升村（社区）法律顾问服务工作（市司法局负责）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村（社区）法律顾问微信群建成率100%、法律服务便民直通车到村(社区)服务次数不少于1200次,每个村(社区)每季度至少举办1次法治讲座，矛盾纠纷就地化解率95%以上。组建乡村振兴法律服务团，为105个乡村振兴样板村开展“法治体检”，完善“村规民约”，建成民主法治示范村。年底开展实施效果评估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村（社区）法律顾问微信群建成率达100%、全市司法行政系统9辆法律服务便民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直通车累计出车231天，服务社区（村居）1056次。村居法律顾问开展法治讲座1.8万余场，化解矛盾纠纷9200余起，就地化解率98%以上。组建乡村振兴法律服务团为乡村振兴样板村开展“法治体检”，135个乡村振兴样板村达到民主法治示范村标准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十八、促进就业创业（市人力资源和社会保障局负责）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对符合创业担保贷款条件人员自主创业的，提高创业担保贷款额度，从10万元提高到不低于15万元。2019年全市发放10亿元。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进一步落实政策措施，全市为创业者发放创业担保贷款8944笔、11.55亿元。此项工作已经完成。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FF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十九、争创出彩人家，共建美丽乡村（市妇联负责）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新增出彩人家示范户16000个，出彩人家示范村120个，出彩人家示范镇（街道）7个，助力打造乡村振兴齐鲁样板济南模式。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全市创建“出彩人家”示范户16000户、示范村120个，已经完成全面任务。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二十、“菜篮子”直通车进社区（原市农业局负责）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Calibri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（一）工作目标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增加“菜篮子”直通车50辆，增加社区服务点200处；提高基地直供能力，进一步解决市民买菜难、农民卖菜难的问题。制定管理办法。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</w:rPr>
        <w:t>（二）进展情况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已购置“菜篮子”冷藏直通车55辆并投入运营，超额完成年度目标任务。新增社区便民服务点260处，完成全年任务。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Calibri" w:hAnsi="Calibri" w:eastAsia="宋体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9"/>
    <w:rsid w:val="002208FF"/>
    <w:rsid w:val="00290DA8"/>
    <w:rsid w:val="002B3A39"/>
    <w:rsid w:val="004508F4"/>
    <w:rsid w:val="004932E4"/>
    <w:rsid w:val="00595E07"/>
    <w:rsid w:val="00AC383A"/>
    <w:rsid w:val="00AE1B07"/>
    <w:rsid w:val="00C12D52"/>
    <w:rsid w:val="00CD2D2D"/>
    <w:rsid w:val="00D8333A"/>
    <w:rsid w:val="00E621E9"/>
    <w:rsid w:val="00E92902"/>
    <w:rsid w:val="00FE1449"/>
    <w:rsid w:val="4C0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default" w:ascii="gb" w:hAnsi="gb"/>
      <w:color w:val="000000"/>
      <w:sz w:val="24"/>
      <w:szCs w:val="24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813</Words>
  <Characters>4635</Characters>
  <Lines>38</Lines>
  <Paragraphs>10</Paragraphs>
  <TotalTime>6</TotalTime>
  <ScaleCrop>false</ScaleCrop>
  <LinksUpToDate>false</LinksUpToDate>
  <CharactersWithSpaces>5438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2020-05-09T03:53:00Z</dcterms:created>
  <dc:creator>Administrator</dc:creator>
  <cp:lastModifiedBy>阿里情深</cp:lastModifiedBy>
  <dcterms:modified xsi:type="dcterms:W3CDTF">2020-05-26T03:51:01Z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