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600" w:lineRule="exact"/>
        <w:ind w:firstLine="0" w:firstLineChars="0"/>
        <w:jc w:val="both"/>
        <w:rPr>
          <w:rFonts w:ascii="黑体" w:hAnsi="黑体" w:eastAsia="黑体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4"/>
          <w:szCs w:val="34"/>
          <w:highlight w:val="none"/>
          <w:lang w:val="en-US" w:eastAsia="zh-CN" w:bidi="ar-SA"/>
        </w:rPr>
        <w:t>《政府</w:t>
      </w:r>
      <w:r>
        <w:rPr>
          <w:rFonts w:ascii="黑体" w:hAnsi="黑体" w:eastAsia="黑体" w:cs="仿宋_GB2312"/>
          <w:kern w:val="2"/>
          <w:sz w:val="34"/>
          <w:szCs w:val="34"/>
          <w:highlight w:val="none"/>
          <w:lang w:val="en-US" w:eastAsia="zh-CN" w:bidi="ar-SA"/>
        </w:rPr>
        <w:t>工作报告》</w:t>
      </w:r>
      <w:r>
        <w:rPr>
          <w:rFonts w:hint="eastAsia" w:ascii="黑体" w:hAnsi="黑体" w:eastAsia="黑体" w:cs="仿宋_GB2312"/>
          <w:kern w:val="2"/>
          <w:sz w:val="34"/>
          <w:szCs w:val="34"/>
          <w:highlight w:val="none"/>
          <w:lang w:val="en-US" w:eastAsia="zh-CN" w:bidi="ar-SA"/>
        </w:rPr>
        <w:t>附件3</w:t>
      </w: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34"/>
          <w:szCs w:val="34"/>
          <w:highlight w:val="none"/>
        </w:rPr>
      </w:pP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highlight w:val="none"/>
        </w:rPr>
        <w:t>《政府</w:t>
      </w:r>
      <w:r>
        <w:rPr>
          <w:rFonts w:ascii="方正小标宋简体" w:hAnsi="仿宋_GB2312" w:eastAsia="方正小标宋简体" w:cs="仿宋_GB2312"/>
          <w:sz w:val="44"/>
          <w:szCs w:val="44"/>
          <w:highlight w:val="none"/>
        </w:rPr>
        <w:t>工作报告》</w:t>
      </w:r>
      <w:r>
        <w:rPr>
          <w:rFonts w:hint="eastAsia" w:ascii="方正小标宋简体" w:hAnsi="仿宋_GB2312" w:eastAsia="方正小标宋简体" w:cs="仿宋_GB2312"/>
          <w:sz w:val="44"/>
          <w:szCs w:val="44"/>
          <w:highlight w:val="none"/>
        </w:rPr>
        <w:t>名词解释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1.“1+4+16+N”规划体系：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“1”即国务院批复的《济南新旧动能转换起步区建设实施方案》；“4”即起步区发展规划、国土空间规划、生态保护规划及启动区控制性规划；“16”即节水型城市、蓝绿空间、产业发展等16个专项规划；“N”即根据发展时序和形势需要，适时启动编制园林绿化、夜景照明、未来社区等相关专业规划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2.人工智能“双区”同建：</w:t>
      </w:r>
      <w:r>
        <w:rPr>
          <w:rFonts w:hint="eastAsia" w:ascii="仿宋_GB2312" w:hAnsi="Calibri" w:eastAsia="仿宋_GB2312" w:cs="Times New Roman"/>
          <w:kern w:val="2"/>
          <w:sz w:val="34"/>
          <w:szCs w:val="34"/>
          <w:highlight w:val="none"/>
          <w:lang w:val="en-US" w:eastAsia="zh-CN" w:bidi="ar-SA"/>
        </w:rPr>
        <w:t>即同步建设国家新一代人工智能创新发展试验区、国家人工智能创新应用先导区。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default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3.“东强西兴南美北起中优”城市发展新格局：</w:t>
      </w:r>
      <w:r>
        <w:rPr>
          <w:rFonts w:hint="eastAsia" w:ascii="仿宋_GB2312" w:hAnsi="Calibri" w:eastAsia="仿宋_GB2312" w:cs="Times New Roman"/>
          <w:kern w:val="2"/>
          <w:sz w:val="34"/>
          <w:szCs w:val="34"/>
          <w:highlight w:val="none"/>
          <w:lang w:val="en-US" w:eastAsia="zh-CN" w:bidi="ar-SA"/>
        </w:rPr>
        <w:t>2003年6月26日，省委常委会扩大会议确定了“东拓、西进、南控、北跨、中疏”的济南城市空间布局。</w:t>
      </w:r>
      <w:r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为适应济南城市发展由空间拓展向高质量发展转型的内在需求，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2020年7月23日，</w:t>
      </w:r>
      <w:r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市委十一届十一次全会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提出，加快构建“</w:t>
      </w:r>
      <w:r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东强、西兴、南美、北起、中优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”</w:t>
      </w:r>
      <w:r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城市发展新格局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4.“米”字型高铁网：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即以济南为中心，京沪铁路通道与济青聊铁路通道构成东西、南北十字交叉框架，通过石济客专联系西北方向的石家庄以远，通过济郑高铁联系西南方向的郑州以远，通过济滨高铁联系东北方向的滨州，通过济莱高铁联系东南方向，使济南成为东西南北向的全国重要的路网性铁路枢纽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5.“两横三纵”快速走廊：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“两横”即二环南路高架路、北园高架路—工业北路高架路，“三纵”即二环东路高架路、二环西路高架路、顺河高架路。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6.“十大系统集成改革”：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即系统推进战略平台、动能转换、创新驱动、要素赋能、营商环境、农业农村、社会治理、民生事业、生态文明、党建纪检等十大集成改革。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7.“要素跟着项目走”：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即土地、能耗、污染物排放总量替代指标、水资源、资金等要素优先保障重点项目的工作机制。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8.“链上自贸”：</w:t>
      </w: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  <w:t>即“链上自贸”保税展示交易平台，指基于区块链、边缘计算、人工智能和一物一码等新技术，在自贸试验区济南片区建设的货物保税展示交易平台，实现“货物出区免担保、一物一码可追溯、展示商品可退回、交易消费才缴税”的保税监管新模式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  <w:t>9.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“四减四增”：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调整产业结构，减少过剩和落后产业，增加新的增长动能；调整能源结构，减少煤炭消费，增加清洁能源使用；调整运输结构，减少公路运输量，增加铁路运输量；调整农业投入结构，减少化肥农药使用量，增加有机肥使用量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10.“千园之城”</w:t>
      </w:r>
      <w:r>
        <w:rPr>
          <w:rFonts w:hint="eastAsia" w:ascii="黑体" w:hAnsi="黑体" w:eastAsia="黑体" w:cs="仿宋_GB2312"/>
          <w:sz w:val="34"/>
          <w:szCs w:val="3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即全市500平方米以上公园数量超过1000个。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11.“四新”经济：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即新技术、新产业、新业态、新模式的经济形态。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Calibri" w:eastAsia="仿宋_GB2312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12.“四上”企业：</w:t>
      </w:r>
      <w:r>
        <w:rPr>
          <w:rFonts w:hint="eastAsia" w:ascii="仿宋_GB2312" w:hAnsi="Calibri" w:cs="Times New Roman"/>
          <w:sz w:val="36"/>
          <w:szCs w:val="36"/>
          <w:highlight w:val="none"/>
          <w:lang w:val="en-US" w:eastAsia="zh-CN"/>
        </w:rPr>
        <w:t>即</w:t>
      </w:r>
      <w:r>
        <w:rPr>
          <w:rFonts w:hint="eastAsia" w:ascii="仿宋_GB2312" w:hAnsi="Calibri" w:eastAsia="仿宋_GB2312" w:cs="Times New Roman"/>
          <w:sz w:val="36"/>
          <w:szCs w:val="36"/>
          <w:highlight w:val="none"/>
        </w:rPr>
        <w:t>规模以上工业企业、资质等级建筑业企业、限额以上批零住餐企业、国家重点服务业企业等四类企业的统称。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13.</w:t>
      </w:r>
      <w:r>
        <w:rPr>
          <w:rFonts w:hint="eastAsia" w:ascii="黑体" w:hAnsi="黑体" w:eastAsia="黑体" w:cs="黑体"/>
          <w:sz w:val="34"/>
          <w:szCs w:val="34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四水四定”：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即以水定城、以水定地、以水定人、以水定产</w:t>
      </w:r>
      <w:r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  <w:t>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14.“12项改革创新行动”：</w:t>
      </w:r>
      <w:r>
        <w:rPr>
          <w:rFonts w:hint="eastAsia" w:ascii="仿宋_GB2312" w:hAnsi="Calibri" w:eastAsia="仿宋_GB2312" w:cs="Times New Roman"/>
          <w:sz w:val="36"/>
          <w:szCs w:val="36"/>
          <w:highlight w:val="none"/>
        </w:rPr>
        <w:t>即科技引领发展改革创新行动、人才队伍建设改革创新行动、重点区域突破改革创新行动、产业质效升级改革创新行动、数字经济发展改革创新行动、深化开放协作改革创新行动、重点要素保障改革创新行动、发展环境优化改革创新行动、生态环境提升改革创新行动、民生福祉改善改革创新行动、风险隐患防控改革创新行动、文化宣传引导改革创新行动。</w:t>
      </w:r>
    </w:p>
    <w:p>
      <w:pPr>
        <w:adjustRightInd/>
        <w:snapToGrid/>
        <w:spacing w:line="600" w:lineRule="exact"/>
        <w:ind w:firstLine="680" w:firstLineChars="200"/>
        <w:rPr>
          <w:rFonts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15.“两规”一致性处理：</w:t>
      </w:r>
      <w:r>
        <w:rPr>
          <w:rFonts w:hint="eastAsia" w:ascii="仿宋_GB2312" w:hAnsi="Calibri" w:eastAsia="仿宋_GB2312" w:cs="Times New Roman"/>
          <w:bCs/>
          <w:sz w:val="36"/>
          <w:szCs w:val="36"/>
          <w:highlight w:val="none"/>
        </w:rPr>
        <w:t>即按照国土空间规划“一张图”要求，对现行土地利用总体规划和城市（镇）总体规划进行一致性处理，作为国土空间用途管制的依据。</w:t>
      </w:r>
    </w:p>
    <w:p>
      <w:pPr>
        <w:adjustRightInd/>
        <w:snapToGrid/>
        <w:spacing w:line="600" w:lineRule="exact"/>
        <w:ind w:firstLine="680" w:firstLineChars="200"/>
        <w:rPr>
          <w:rFonts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16.“两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个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清零</w:t>
      </w:r>
      <w:r>
        <w:rPr>
          <w:rFonts w:hint="eastAsia" w:ascii="黑体" w:hAnsi="黑体" w:eastAsia="黑体" w:cs="黑体"/>
          <w:sz w:val="34"/>
          <w:szCs w:val="34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一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个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提标”：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即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到2025年实现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城市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建成区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雨污合流管网清零、黑臭水体清零、城市污水处理厂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出水水质标准提升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Calibri" w:eastAsia="仿宋_GB2312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17.“一证保三权”模式：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商河县推出的促进城乡融合发展的改革措施，即为自愿进城镇落户农民办理“农村集体经济组织成员转移备案证”，保障其在原村集体的宅基地使用权、土地承包经营权、集体收益分配权依法保持不变。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Calibri" w:hAnsi="Calibri" w:eastAsia="仿宋_GB2312" w:cs="Times New Roman"/>
          <w:sz w:val="21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4"/>
          <w:szCs w:val="34"/>
          <w:highlight w:val="none"/>
        </w:rPr>
        <w:t>18.</w:t>
      </w:r>
      <w:bookmarkEnd w:id="0"/>
      <w:r>
        <w:rPr>
          <w:rFonts w:hint="eastAsia" w:ascii="黑体" w:hAnsi="黑体" w:eastAsia="黑体" w:cs="黑体"/>
          <w:sz w:val="34"/>
          <w:szCs w:val="34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三变</w:t>
      </w:r>
      <w:r>
        <w:rPr>
          <w:rFonts w:hint="eastAsia" w:ascii="黑体" w:hAnsi="黑体" w:eastAsia="黑体" w:cs="黑体"/>
          <w:sz w:val="34"/>
          <w:szCs w:val="34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改革：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即资源变股权、资金变股金、农民变股民改革。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19.“要素引着项目来”：</w:t>
      </w:r>
      <w:r>
        <w:rPr>
          <w:rFonts w:hint="eastAsia" w:ascii="仿宋_GB2312" w:hAnsi="Calibri" w:eastAsia="仿宋_GB2312" w:cs="Times New Roman"/>
          <w:sz w:val="36"/>
          <w:szCs w:val="36"/>
          <w:highlight w:val="none"/>
        </w:rPr>
        <w:t>即通过精准化差异化的要素供给，吸引项目落地。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Calibri" w:eastAsia="仿宋_GB2312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20.“三医联动”改革：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即医疗、医保、医药改革联动。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Calibri" w:eastAsia="仿宋_GB2312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21.“第五立面”：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即相对于建筑的前后左右四个立面而言，把屋顶看作建筑第五个重要立面。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22.“三高”沿线：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即高架路、高速公路、高铁沿线。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23.“百园万亩亿斤”稳产提质增效行动：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即自2021年开始，用3-5年时间，布局100个以上“菜篮子”保供园区，打造万亩以上的精品“菜篮子”基地，应急保供产能达到1亿斤以上。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24.“1+N+X”政策体系：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“1”指全市碳达峰工作方案；“N”指重点领域和重点行业工作方案及保障方案，包括制定能源、工业、科技、城乡建设、交通运输等领域碳达峰工作方案，以及科技支撑、金融支持等保障方案；“X”指关于碳达峰碳中和的保障机制和配套方案。</w:t>
      </w:r>
    </w:p>
    <w:p>
      <w:pPr>
        <w:adjustRightInd/>
        <w:snapToGrid/>
        <w:spacing w:line="600" w:lineRule="exact"/>
        <w:ind w:firstLine="680" w:firstLineChars="0"/>
        <w:rPr>
          <w:rFonts w:ascii="仿宋_GB2312" w:hAnsi="仿宋_GB2312" w:eastAsia="宋体" w:cs="仿宋_GB2312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25.“四个区分”：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即区分“两高”与非“两高”、区分产业链上下游、区分新建与技改、区分不同时间节点。</w:t>
      </w:r>
    </w:p>
    <w:p>
      <w:pPr>
        <w:adjustRightInd/>
        <w:snapToGrid/>
        <w:spacing w:line="600" w:lineRule="exact"/>
        <w:ind w:firstLine="680" w:firstLineChars="0"/>
        <w:rPr>
          <w:rFonts w:ascii="仿宋_GB2312" w:hAnsi="仿宋_GB2312" w:eastAsia="宋体" w:cs="仿宋_GB2312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26.“五个减量替代”：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</w:t>
      </w:r>
      <w:r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  <w:t>新建“两高”项目，要在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产能、煤耗、能耗、碳排放、污染物排放</w:t>
      </w:r>
      <w:r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  <w:t>5个方面落实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减量替代。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27.“三线一单”：</w:t>
      </w:r>
      <w:r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生态保护红线、环境质量底线、资源利用上线</w:t>
      </w:r>
      <w:r>
        <w:rPr>
          <w:rFonts w:hint="eastAsia" w:ascii="仿宋_GB2312" w:hAnsi="仿宋_GB2312" w:cs="仿宋_GB2312"/>
          <w:sz w:val="34"/>
          <w:szCs w:val="34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生态环境准入清单。</w:t>
      </w:r>
    </w:p>
    <w:p>
      <w:pPr>
        <w:adjustRightInd/>
        <w:snapToGrid/>
        <w:spacing w:line="600" w:lineRule="exact"/>
        <w:ind w:firstLine="680" w:firstLineChars="0"/>
        <w:rPr>
          <w:rFonts w:hint="eastAsia" w:ascii="黑体" w:hAnsi="黑体" w:eastAsia="黑体" w:cs="黑体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</w:rPr>
        <w:t>28.“双元制”人才培养模式：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即产教融合校企“双元”育人模式，校企共同研究制定人才培养方案、共同担负人才培养任务，按照企业对人才的要求组织教学和岗位培训，及时将新技术、新工艺、新规范纳入教学标准和教学内容。</w:t>
      </w:r>
    </w:p>
    <w:p>
      <w:pPr>
        <w:adjustRightInd/>
        <w:snapToGrid/>
        <w:spacing w:line="600" w:lineRule="exact"/>
        <w:ind w:firstLine="680" w:firstLineChars="0"/>
        <w:rPr>
          <w:rFonts w:ascii="仿宋_GB2312" w:hAnsi="仿宋_GB2312" w:eastAsia="宋体" w:cs="仿宋_GB2312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29.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公共卫生“六大中心”：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val="en-US" w:eastAsia="zh-CN"/>
        </w:rPr>
        <w:t>即市疾病预防控制中心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</w:rPr>
        <w:t>、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val="en-US" w:eastAsia="zh-CN"/>
        </w:rPr>
        <w:t>市精神卫生中心、市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</w:rPr>
        <w:t>急救指挥调度中心、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</w:rPr>
        <w:t>应急医疗储备保障中心、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val="en-US" w:eastAsia="zh-CN"/>
        </w:rPr>
        <w:t>市急救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</w:rPr>
        <w:t>创伤中心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  <w:lang w:val="en-US" w:eastAsia="zh-CN"/>
        </w:rPr>
        <w:t>省</w:t>
      </w:r>
      <w:r>
        <w:rPr>
          <w:rFonts w:hint="eastAsia" w:ascii="仿宋_GB2312" w:hAnsi="Calibri" w:eastAsia="仿宋_GB2312" w:cs="Times New Roman"/>
          <w:sz w:val="34"/>
          <w:szCs w:val="34"/>
          <w:highlight w:val="none"/>
        </w:rPr>
        <w:t>公共卫生临床中心。</w:t>
      </w:r>
    </w:p>
    <w:p>
      <w:pPr>
        <w:widowControl w:val="0"/>
        <w:adjustRightInd w:val="0"/>
        <w:snapToGrid w:val="0"/>
        <w:spacing w:line="60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30</w:t>
      </w:r>
      <w:r>
        <w:rPr>
          <w:rFonts w:hint="eastAsia" w:ascii="黑体" w:hAnsi="黑体" w:eastAsia="黑体" w:cs="黑体"/>
          <w:sz w:val="34"/>
          <w:szCs w:val="34"/>
          <w:highlight w:val="none"/>
        </w:rPr>
        <w:t>.</w:t>
      </w: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行政处罚“四张清单”：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即不予处罚清单、减轻处罚清单、从轻处罚清单和从重处罚清单。</w:t>
      </w:r>
    </w:p>
    <w:sectPr>
      <w:footerReference r:id="rId5" w:type="default"/>
      <w:pgSz w:w="11906" w:h="16838"/>
      <w:pgMar w:top="2041" w:right="2041" w:bottom="2041" w:left="204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ind w:firstLine="0" w:firstLineChars="0"/>
      <w:jc w:val="center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4"/>
        <w:szCs w:val="24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4"/>
        <w:szCs w:val="24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24"/>
        <w:szCs w:val="24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24"/>
        <w:szCs w:val="24"/>
        <w:lang w:val="zh-CN" w:eastAsia="zh-CN" w:bidi="ar-SA"/>
      </w:rPr>
      <w:t>2</w:t>
    </w:r>
    <w:r>
      <w:rPr>
        <w:rFonts w:ascii="Calibri" w:hAnsi="Calibri" w:eastAsia="宋体" w:cs="Times New Roman"/>
        <w:kern w:val="2"/>
        <w:sz w:val="24"/>
        <w:szCs w:val="24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A20CF"/>
    <w:rsid w:val="02E50D74"/>
    <w:rsid w:val="03CD2EEB"/>
    <w:rsid w:val="053F58E5"/>
    <w:rsid w:val="11C46B5C"/>
    <w:rsid w:val="12323190"/>
    <w:rsid w:val="24B47986"/>
    <w:rsid w:val="30C32136"/>
    <w:rsid w:val="31124CA6"/>
    <w:rsid w:val="319D2A3B"/>
    <w:rsid w:val="394903A1"/>
    <w:rsid w:val="3BE24E26"/>
    <w:rsid w:val="3C05107F"/>
    <w:rsid w:val="3C4C37C6"/>
    <w:rsid w:val="3E9256AC"/>
    <w:rsid w:val="40EC1FD5"/>
    <w:rsid w:val="413A20CF"/>
    <w:rsid w:val="46472E68"/>
    <w:rsid w:val="4EC5629D"/>
    <w:rsid w:val="5365044A"/>
    <w:rsid w:val="56D940C0"/>
    <w:rsid w:val="57FF287C"/>
    <w:rsid w:val="61AF0453"/>
    <w:rsid w:val="635C3B47"/>
    <w:rsid w:val="66892733"/>
    <w:rsid w:val="6BC42556"/>
    <w:rsid w:val="74EB6AD9"/>
    <w:rsid w:val="7CD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723" w:firstLineChars="200"/>
      <w:jc w:val="both"/>
    </w:pPr>
    <w:rPr>
      <w:rFonts w:ascii="Times New Roman" w:hAnsi="Times New Roman" w:eastAsia="仿宋_GB2312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default" w:ascii="Times New Roman" w:hAnsi="Times New Roman" w:eastAsia="黑体" w:cs="宋体"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Times New Roman" w:hAnsi="Times New Roman" w:eastAsia="楷体_GB2312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楷体_GB2312"/>
      <w:b/>
      <w:sz w:val="36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仿宋_GB2312"/>
      <w:b/>
      <w:sz w:val="36"/>
    </w:rPr>
  </w:style>
  <w:style w:type="character" w:customStyle="1" w:styleId="11">
    <w:name w:val="下划线（红）"/>
    <w:basedOn w:val="8"/>
    <w:qFormat/>
    <w:uiPriority w:val="0"/>
    <w:rPr>
      <w:rFonts w:hint="eastAsia" w:ascii="Calibri" w:hAnsi="Calibri" w:eastAsia="仿宋_GB2312"/>
      <w:sz w:val="36"/>
      <w:u w:val="thick" w:color="FF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2150</Words>
  <Characters>2238</Characters>
  <Lines>0</Lines>
  <Paragraphs>0</Paragraphs>
  <TotalTime>0</TotalTime>
  <ScaleCrop>false</ScaleCrop>
  <LinksUpToDate>false</LinksUpToDate>
  <CharactersWithSpaces>2238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2022-04-08T01:42:00Z</dcterms:created>
  <dc:creator>lzq</dc:creator>
  <cp:lastModifiedBy>huiyishi</cp:lastModifiedBy>
  <dcterms:modified xsi:type="dcterms:W3CDTF">2022-04-16T06:38:27Z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7B29957AA2F84EDC9815DEB4D1251419</vt:lpwstr>
  </property>
</Properties>
</file>