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C74C706">
      <w:pPr>
        <w:widowControl/>
        <w:shd w:val="clear" w:color="auto" w:fill="FFFFFF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济南市人民政府办公厅</w:t>
      </w:r>
    </w:p>
    <w:p w14:paraId="10E51D2B">
      <w:pPr>
        <w:widowControl/>
        <w:shd w:val="clear" w:color="auto" w:fill="FFFFFF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2024年政府信息公开工作年度报告</w:t>
      </w:r>
    </w:p>
    <w:p w14:paraId="188A2B03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67860D01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本年度报告根据《中华人民共和国政府信息公开条例》相关要求编制，内容包括总体情况、主动公开政府信息情况、收到和处理政府信息公开申请情况、政府信息公开行政复议和行政诉讼情况、存在的主要问题及改进情况、其他需要报告的事项等六个部分。本年度报告中所列数据统计期限从2024年1月1日到2024年12月31日。</w:t>
      </w:r>
    </w:p>
    <w:p w14:paraId="1F216483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一、总体情况</w:t>
      </w:r>
    </w:p>
    <w:p w14:paraId="51A77B9E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（一）主动公开情况</w:t>
      </w:r>
    </w:p>
    <w:p w14:paraId="36F0F45C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1974850</wp:posOffset>
            </wp:positionV>
            <wp:extent cx="1855470" cy="2627630"/>
            <wp:effectExtent l="0" t="0" r="3810" b="8890"/>
            <wp:wrapTight wrapText="bothSides">
              <wp:wrapPolygon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2" name="图片 2" descr="11济南市政策解读工作指引(3)_页面_00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济南市政策解读工作指引(3)_页面_00~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62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1974850</wp:posOffset>
            </wp:positionV>
            <wp:extent cx="1859280" cy="2623820"/>
            <wp:effectExtent l="0" t="0" r="0" b="1270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2024年，通过政府网站主动公开机构职能、政策文件、常务会议等在内的信息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428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条；严格落实政策解读材料与政策文件同步起草、同步审签、同步发布“三同步”原则，印发《关于进一步加强政务公开重要政策解读工作的通知》和工作指引，全年对市政府和市政府办公厅印发的61个政策文件制作发布视频、动漫等多形式解读材料188个，切实增强政策解读的传播力和影响力；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组织开展202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4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全市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优秀政策解读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案例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评选活动。</w:t>
      </w:r>
    </w:p>
    <w:p w14:paraId="0A3D3CF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</w:p>
    <w:p w14:paraId="6923726B">
      <w:pPr>
        <w:widowControl/>
        <w:shd w:val="clear" w:color="auto" w:fill="FFFFFF"/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（二）依申请公开情况</w:t>
      </w:r>
    </w:p>
    <w:p w14:paraId="42BFC188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强化服</w:t>
      </w:r>
      <w:r>
        <w:rPr>
          <w:rFonts w:hint="eastAsia" w:ascii="仿宋_GB2312" w:hAnsi="仿宋_GB2312" w:eastAsia="仿宋_GB2312"/>
          <w:sz w:val="32"/>
          <w:szCs w:val="32"/>
        </w:rPr>
        <w:t>务理念，主动与申请人沟通，做好便民解答、指引和服务，推动申请人合理诉求的实质性解决。</w:t>
      </w:r>
      <w:r>
        <w:rPr>
          <w:rFonts w:hint="eastAsia" w:ascii="仿宋_GB2312" w:eastAsia="仿宋_GB2312"/>
          <w:sz w:val="32"/>
          <w:szCs w:val="32"/>
        </w:rPr>
        <w:t>开发建设“全市政府信息依申请公开智能化办理系统”，实现对全市政府信息依申请公开件接收、登记、补正、办理、协查、审签、答复、延期、归档等全流程监管和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全闭环管理</w:t>
      </w:r>
      <w:r>
        <w:rPr>
          <w:rFonts w:hint="eastAsia" w:ascii="仿宋_GB2312" w:eastAsia="仿宋_GB2312"/>
          <w:sz w:val="32"/>
          <w:szCs w:val="32"/>
        </w:rPr>
        <w:t>，系统</w:t>
      </w:r>
      <w:r>
        <w:rPr>
          <w:rFonts w:hint="eastAsia" w:ascii="仿宋_GB2312" w:hAnsi="仿宋_GB2312" w:eastAsia="仿宋_GB2312" w:cs="仿宋_GB2312"/>
          <w:sz w:val="32"/>
          <w:szCs w:val="40"/>
        </w:rPr>
        <w:t>具备大数据分析、热力图展示、</w:t>
      </w:r>
      <w:r>
        <w:rPr>
          <w:rFonts w:hint="eastAsia" w:ascii="仿宋_GB2312" w:eastAsia="仿宋_GB2312"/>
          <w:sz w:val="32"/>
          <w:szCs w:val="32"/>
        </w:rPr>
        <w:t>案例库共享等功能。</w:t>
      </w:r>
      <w:bookmarkStart w:id="0" w:name="OLE_LINK6"/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全年共受理公众向市政府（市政府办公厅）提交的政府信息公开申请543件（含上年度结转6件），申请内容主要集中在城市更新、征收拆迁、土地出让、城乡规划等方面，依法办结541件，结转下年度办理2件。</w:t>
      </w:r>
    </w:p>
    <w:p w14:paraId="516697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drawing>
          <wp:inline distT="0" distB="0" distL="114300" distR="114300">
            <wp:extent cx="4778375" cy="2595245"/>
            <wp:effectExtent l="0" t="0" r="6985" b="10795"/>
            <wp:docPr id="5" name="图片 5" descr="D: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Desktop/1.png1"/>
                    <pic:cNvPicPr>
                      <a:picLocks noChangeAspect="1"/>
                    </pic:cNvPicPr>
                  </pic:nvPicPr>
                  <pic:blipFill>
                    <a:blip r:embed="rId7"/>
                    <a:srcRect t="2319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595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A5C62A9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（三）政府信息管理情况</w:t>
      </w:r>
      <w:bookmarkStart w:id="15" w:name="_GoBack"/>
      <w:bookmarkEnd w:id="15"/>
    </w:p>
    <w:p w14:paraId="50530279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健全完善市政府文件库，对市政府规章、行政规范性文件、其他文件进行全面梳理和归集展示，规范网络版式，明确法律效力，提高集中公开质量；主动公开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本年度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新制发政府规章4件、行政规范性文件10件、其他文件51件。实行主动公开清单化管理，建立健全主动公开事项目录制度，优化主动公开机制，做到法定公开事项主动公开到位；全面完成市政府及市政府办公厅主动公开事项目录编制工作，并动态调整。</w:t>
      </w:r>
    </w:p>
    <w:p w14:paraId="52193EC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4730115" cy="263334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AB9A">
      <w:pPr>
        <w:widowControl/>
        <w:shd w:val="clear" w:color="auto" w:fill="FFFFFF"/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（四）平台建设情况</w:t>
      </w:r>
    </w:p>
    <w:p w14:paraId="7BE26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一是持续建强市政府门户网站，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完善政务公开专题专栏，提升政府网站信息发布、解读回应、办事服务、互动交流服务效能，持续优化政府网站智能检索、适老化和无障碍环境建设，进一步满足企业、市民信息获取需求。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二是持续完善政策问答平台，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围绕12345热线高频政策咨询事项构建知识库，</w:t>
      </w:r>
      <w:r>
        <w:rPr>
          <w:rFonts w:hint="eastAsia" w:ascii="仿宋_GB2312" w:eastAsia="仿宋_GB2312"/>
          <w:sz w:val="32"/>
          <w:szCs w:val="32"/>
        </w:rPr>
        <w:t>建设“12345热点问答”平台</w:t>
      </w:r>
      <w:r>
        <w:rPr>
          <w:rFonts w:hint="eastAsia" w:ascii="仿宋_GB2312" w:eastAsia="仿宋_GB2312"/>
          <w:sz w:val="32"/>
          <w:szCs w:val="32"/>
          <w:shd w:val="clear" w:color="auto" w:fill="FFFFFF"/>
        </w:rPr>
        <w:t>，市民可通过关键词快速检索。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三是持续做好政府公报工作，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全年发布政府公报24期，发至各区县、市直部门、街办（镇）、村（居）民委员会、档案馆、公共图书馆、各级政务服务大厅及部分企业；积极推进政府公报数字化转型，扩大网络版公报使用范围，市民可通过市政府网站《政府公报》专栏快速查询下载。</w:t>
      </w:r>
    </w:p>
    <w:p w14:paraId="1DFF1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4761865" cy="2637790"/>
            <wp:effectExtent l="0" t="0" r="825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F0F2">
      <w:pPr>
        <w:widowControl/>
        <w:shd w:val="clear" w:color="auto" w:fill="FFFFFF"/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（五）监督保障情况</w:t>
      </w:r>
    </w:p>
    <w:p w14:paraId="00C8831F">
      <w:pPr>
        <w:widowControl/>
        <w:shd w:val="clear" w:color="auto" w:fill="FFFFFF"/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3058795</wp:posOffset>
            </wp:positionV>
            <wp:extent cx="3403600" cy="2207895"/>
            <wp:effectExtent l="0" t="0" r="10160" b="0"/>
            <wp:wrapSquare wrapText="bothSides"/>
            <wp:docPr id="4" name="图片 3" descr="D:/尚可/政务公开/济南市/整理材料/2024.12.24 2024年政府信息公开年报/市政府办公厅年报/数据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/尚可/政务公开/济南市/整理材料/2024.12.24 2024年政府信息公开年报/市政府办公厅年报/数据/图片2.png图片2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rcRect l="-112" r="-9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一是加强日常信息监测。</w:t>
      </w:r>
      <w:r>
        <w:rPr>
          <w:rFonts w:ascii="仿宋_GB2312" w:eastAsia="仿宋_GB2312"/>
          <w:sz w:val="32"/>
          <w:szCs w:val="32"/>
        </w:rPr>
        <w:t>加强市政府门户网站监管，</w:t>
      </w:r>
      <w:r>
        <w:rPr>
          <w:rFonts w:hint="eastAsia" w:ascii="仿宋_GB2312" w:eastAsia="仿宋_GB2312"/>
          <w:sz w:val="32"/>
          <w:szCs w:val="32"/>
        </w:rPr>
        <w:t>建立日常监管、问题整改、督查督办、监测问效工作闭环，定期进行动态监测，发现问题立即整改。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二是加强专题业务培训。</w:t>
      </w:r>
      <w:r>
        <w:rPr>
          <w:rFonts w:hint="eastAsia" w:ascii="仿宋_GB2312" w:hAnsi="仿宋_GB2312" w:eastAsia="仿宋_GB2312" w:cs="仿宋_GB2312"/>
          <w:sz w:val="32"/>
          <w:szCs w:val="32"/>
        </w:rPr>
        <w:t>将政务公开法规制度、业务知识学习培训，纳入领导干部和公务员日常培训内容，先后开展政策解读、依申请公开、主动公开事项目录等专题培训，提高工作人员业务能力。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三是加强制度体系建设。</w:t>
      </w:r>
      <w:r>
        <w:rPr>
          <w:rFonts w:hint="eastAsia" w:ascii="仿宋_GB2312" w:hAnsi="仿宋_GB2312" w:eastAsia="仿宋_GB2312" w:cs="仿宋_GB2312"/>
          <w:sz w:val="32"/>
          <w:szCs w:val="32"/>
        </w:rPr>
        <w:t>健全完善《济南市依申请公开工作制度》《济南市政府信息依申请公开规范化、标准化工作指引》《济南市政府信息公开信息处理费收取工作制度》等。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四是加强宣传推广力度。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依托“爱济南”APP开设“政务公开看济南”专栏，全年累计发布推介我市政务公开典型经验做法151篇、总阅读量220余万人次。</w:t>
      </w:r>
    </w:p>
    <w:p w14:paraId="2C468E70"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二、主动公开政府信息情况</w:t>
      </w:r>
    </w:p>
    <w:tbl>
      <w:tblPr>
        <w:tblStyle w:val="7"/>
        <w:tblW w:w="99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95"/>
        <w:gridCol w:w="2435"/>
        <w:gridCol w:w="2435"/>
        <w:gridCol w:w="2435"/>
      </w:tblGrid>
      <w:tr w14:paraId="5831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3634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第二十条第（一）项</w:t>
            </w:r>
          </w:p>
        </w:tc>
      </w:tr>
      <w:tr w14:paraId="740E9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2605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09D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本年制发件数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398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本年废止件数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544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现行有效件数</w:t>
            </w:r>
          </w:p>
        </w:tc>
      </w:tr>
      <w:tr w14:paraId="211EA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76E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规章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814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4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68AC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805A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66</w:t>
            </w:r>
          </w:p>
        </w:tc>
      </w:tr>
      <w:tr w14:paraId="70E8A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8E0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行政规范性文件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D1E8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10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147A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</w:t>
            </w:r>
          </w:p>
        </w:tc>
        <w:tc>
          <w:tcPr>
            <w:tcW w:w="243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8EC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79</w:t>
            </w:r>
          </w:p>
        </w:tc>
      </w:tr>
      <w:tr w14:paraId="41E6A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255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第二十条第（五）项</w:t>
            </w:r>
          </w:p>
        </w:tc>
      </w:tr>
      <w:tr w14:paraId="610C9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FF5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4E1A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本年处理决定数量</w:t>
            </w:r>
          </w:p>
        </w:tc>
      </w:tr>
      <w:tr w14:paraId="78465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0EF6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行政许可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7731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</w:tr>
      <w:tr w14:paraId="02D61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E765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第二十条第（六）项</w:t>
            </w:r>
          </w:p>
        </w:tc>
      </w:tr>
      <w:tr w14:paraId="3DFC0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68CC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7B4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本年处理决定数量</w:t>
            </w:r>
          </w:p>
        </w:tc>
      </w:tr>
      <w:tr w14:paraId="5EC2A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2B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行政处罚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32B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</w:tr>
      <w:tr w14:paraId="6A7AF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783C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行政强制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6BB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</w:tr>
      <w:tr w14:paraId="61FE3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F23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第二十条第（八）项</w:t>
            </w:r>
          </w:p>
        </w:tc>
      </w:tr>
      <w:tr w14:paraId="2099E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7F6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501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本年收费金额（单位：万元）</w:t>
            </w:r>
          </w:p>
        </w:tc>
      </w:tr>
      <w:tr w14:paraId="462A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01B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行政事业性收费</w:t>
            </w:r>
          </w:p>
        </w:tc>
        <w:tc>
          <w:tcPr>
            <w:tcW w:w="730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6C9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</w:tr>
    </w:tbl>
    <w:p w14:paraId="44E039D0"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三、收到和处理政府信息公开申请情况</w:t>
      </w:r>
    </w:p>
    <w:tbl>
      <w:tblPr>
        <w:tblStyle w:val="7"/>
        <w:tblW w:w="99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1052"/>
        <w:gridCol w:w="3707"/>
        <w:gridCol w:w="604"/>
        <w:gridCol w:w="577"/>
        <w:gridCol w:w="593"/>
        <w:gridCol w:w="606"/>
        <w:gridCol w:w="708"/>
        <w:gridCol w:w="567"/>
        <w:gridCol w:w="851"/>
      </w:tblGrid>
      <w:tr w14:paraId="3D2C6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407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92BCE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bookmarkStart w:id="1" w:name="OLE_LINK3"/>
            <w:r>
              <w:rPr>
                <w:rFonts w:hint="eastAsia" w:ascii="楷体_GB2312" w:hAnsi="黑体" w:eastAsia="楷体_GB2312"/>
                <w:kern w:val="0"/>
                <w:sz w:val="24"/>
                <w:szCs w:val="24"/>
              </w:rPr>
              <w:t>（本列数据的勾稽关系为：第一项加第二项之和，等于第三项加第四项之和）</w:t>
            </w:r>
          </w:p>
        </w:tc>
        <w:tc>
          <w:tcPr>
            <w:tcW w:w="4506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3414D8">
            <w:pPr>
              <w:widowControl/>
              <w:spacing w:line="350" w:lineRule="exact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申请人情况</w:t>
            </w:r>
          </w:p>
        </w:tc>
      </w:tr>
      <w:tr w14:paraId="40DD7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5407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B33930">
            <w:pPr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4F4282">
            <w:pPr>
              <w:widowControl/>
              <w:spacing w:line="350" w:lineRule="exact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自然人</w:t>
            </w:r>
          </w:p>
        </w:tc>
        <w:tc>
          <w:tcPr>
            <w:tcW w:w="3051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F974AA">
            <w:pPr>
              <w:widowControl/>
              <w:spacing w:line="350" w:lineRule="exact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C3E5F5">
            <w:pPr>
              <w:widowControl/>
              <w:spacing w:line="350" w:lineRule="exact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总计</w:t>
            </w:r>
          </w:p>
        </w:tc>
      </w:tr>
      <w:tr w14:paraId="2CDC4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A06B55">
            <w:pPr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5A2235">
            <w:pPr>
              <w:spacing w:line="350" w:lineRule="exact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A24088">
            <w:pPr>
              <w:widowControl/>
              <w:spacing w:line="350" w:lineRule="exact"/>
              <w:ind w:left="-107" w:leftChars="-51" w:right="-107" w:rightChars="-51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商业企业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594CF4">
            <w:pPr>
              <w:widowControl/>
              <w:spacing w:line="350" w:lineRule="exact"/>
              <w:ind w:left="-107" w:leftChars="-51" w:right="-107" w:rightChars="-51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科研机构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239750">
            <w:pPr>
              <w:widowControl/>
              <w:spacing w:line="350" w:lineRule="exact"/>
              <w:ind w:left="-107" w:leftChars="-51" w:right="-107" w:rightChars="-51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0496C8">
            <w:pPr>
              <w:widowControl/>
              <w:spacing w:line="350" w:lineRule="exact"/>
              <w:ind w:left="-107" w:leftChars="-51" w:right="-107" w:rightChars="-51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165BC2">
            <w:pPr>
              <w:widowControl/>
              <w:spacing w:line="350" w:lineRule="exact"/>
              <w:ind w:left="-63" w:leftChars="-30" w:right="-134" w:rightChars="-64"/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32C5AA">
            <w:pPr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</w:tr>
      <w:tr w14:paraId="7AD0E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DCF8B5">
            <w:pPr>
              <w:widowControl/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一、</w:t>
            </w:r>
            <w:bookmarkStart w:id="2" w:name="_Hlk66973412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本年新收政府信息公开申请数量</w:t>
            </w:r>
            <w:bookmarkEnd w:id="2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0E1EE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516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C9DC4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C82E1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81952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DF560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B9505D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2EC9C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537</w:t>
            </w:r>
          </w:p>
        </w:tc>
      </w:tr>
      <w:tr w14:paraId="35D92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A8E671">
            <w:pPr>
              <w:widowControl/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02580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6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681F2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67667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D4E12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EC541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76061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9CB29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6</w:t>
            </w:r>
          </w:p>
        </w:tc>
      </w:tr>
      <w:tr w14:paraId="7BBC3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FA47B5">
            <w:pPr>
              <w:widowControl/>
              <w:spacing w:after="180"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三、本年度办理结果</w:t>
            </w: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E04475">
            <w:pPr>
              <w:widowControl/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（一）予以公开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FE999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186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3F5E7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15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E2B8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057F5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A08D3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CBE9C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D4720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202</w:t>
            </w:r>
          </w:p>
        </w:tc>
      </w:tr>
      <w:tr w14:paraId="4A74E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002825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06735E">
            <w:pPr>
              <w:widowControl/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（二）部分公开（</w:t>
            </w:r>
            <w:bookmarkStart w:id="3" w:name="_Hlk66973981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区分处理的，只计这一情形，不计其他情形</w:t>
            </w:r>
            <w:bookmarkEnd w:id="3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）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55A73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172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05663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4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C3EEA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81F1A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300BD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EBC5D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1FA0A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176</w:t>
            </w:r>
          </w:p>
        </w:tc>
      </w:tr>
      <w:tr w14:paraId="37026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98ABF2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4A6866">
            <w:pPr>
              <w:widowControl/>
              <w:spacing w:line="350" w:lineRule="exact"/>
              <w:ind w:left="-107" w:leftChars="-51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（三）不予公开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4E6CCC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1.属于国家秘密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53B92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11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A1E13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58249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77F94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0F898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9234C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00A1C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12</w:t>
            </w:r>
          </w:p>
        </w:tc>
      </w:tr>
      <w:tr w14:paraId="3F856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61766F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9678BA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2D0CCC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</w:t>
            </w:r>
            <w:bookmarkStart w:id="4" w:name="_Hlk66974104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其他法律行政法规禁止公开</w:t>
            </w:r>
            <w:bookmarkEnd w:id="4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B74DD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B8875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43084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6BC55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1AF9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9DCD0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C8C21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3ABD2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5F1288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A4A183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5CA0C2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3.危及“三安全一稳定”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9F84E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F9867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C9600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0A6BD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4DE63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E2ACD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98893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6E49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245CF3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A31C33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4FFBC6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4.</w:t>
            </w:r>
            <w:bookmarkStart w:id="5" w:name="_Hlk66974290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保护第三方合法权益</w:t>
            </w:r>
            <w:bookmarkEnd w:id="5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8953C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9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C2557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05309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84EBA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13AD0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50EF5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1C413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9</w:t>
            </w:r>
          </w:p>
        </w:tc>
      </w:tr>
      <w:tr w14:paraId="53203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CE740D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F5DBB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AC79B1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5.属于三类内部事务信息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5848E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19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FAC5E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30E82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1F842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42C07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D7986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76841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19</w:t>
            </w:r>
          </w:p>
        </w:tc>
      </w:tr>
      <w:tr w14:paraId="4C1BD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7D863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D80B6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94E8A8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6.</w:t>
            </w:r>
            <w:bookmarkStart w:id="6" w:name="_Hlk66974555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属于四类过程性信息</w:t>
            </w:r>
            <w:bookmarkEnd w:id="6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A7C91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25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60C2A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CF753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95246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439A0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45368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38325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25</w:t>
            </w:r>
          </w:p>
        </w:tc>
      </w:tr>
      <w:tr w14:paraId="43CA0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053B05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3EA61B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BF358A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7.属于行政执法案卷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46FCD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3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A785D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97689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77850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0311A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F6709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6256D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3</w:t>
            </w:r>
          </w:p>
        </w:tc>
      </w:tr>
      <w:tr w14:paraId="1FEC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28B77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3472E2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1AB082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8.</w:t>
            </w:r>
            <w:bookmarkStart w:id="7" w:name="_Hlk66975211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属于行政查询事项</w:t>
            </w:r>
            <w:bookmarkEnd w:id="7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F43D9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18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B439D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81023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0B5E6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4C065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52687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69E18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18</w:t>
            </w:r>
          </w:p>
        </w:tc>
      </w:tr>
      <w:tr w14:paraId="25D14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5234E2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F4A0CF">
            <w:pPr>
              <w:widowControl/>
              <w:spacing w:line="350" w:lineRule="exact"/>
              <w:ind w:left="-107" w:leftChars="-51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（四）无法提供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541CFC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1.本机关不掌握相关政府信息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5C5F1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51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FE2EF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B780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7F5F7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21ACA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0E95C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CC59A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51</w:t>
            </w:r>
          </w:p>
        </w:tc>
      </w:tr>
      <w:tr w14:paraId="75F74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E2FB9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947259">
            <w:pPr>
              <w:spacing w:line="350" w:lineRule="exact"/>
              <w:ind w:left="-107" w:leftChars="-51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E235EA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</w:t>
            </w:r>
            <w:bookmarkStart w:id="8" w:name="_Hlk66975392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没有现成信息需要另行制作</w:t>
            </w:r>
            <w:bookmarkEnd w:id="8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6DFF7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11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139AE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13438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F22EE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66BAD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3B03A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9A3B6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11</w:t>
            </w:r>
          </w:p>
        </w:tc>
      </w:tr>
      <w:tr w14:paraId="247FE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1EBB16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F42251">
            <w:pPr>
              <w:spacing w:line="350" w:lineRule="exact"/>
              <w:ind w:left="-107" w:leftChars="-51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553E80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</w:t>
            </w:r>
            <w:bookmarkStart w:id="9" w:name="_Hlk66975466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补正后申请内容仍不明确</w:t>
            </w:r>
            <w:bookmarkEnd w:id="9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64857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889E1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0E75F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614B9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064B5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ED6B93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3978C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46BCE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7A73E2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02CA4B">
            <w:pPr>
              <w:widowControl/>
              <w:spacing w:line="350" w:lineRule="exact"/>
              <w:ind w:left="-107" w:leftChars="-51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（五）不予处理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4DD414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</w:t>
            </w:r>
            <w:bookmarkStart w:id="10" w:name="_Hlk66975537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信访举报投诉类申请</w:t>
            </w:r>
            <w:bookmarkEnd w:id="10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DEFF3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4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B203C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DD66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C70FF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AE700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C418D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692B0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4</w:t>
            </w:r>
          </w:p>
        </w:tc>
      </w:tr>
      <w:tr w14:paraId="2500E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5B36AE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4991D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412C43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2.重复申请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EE95F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44081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3DDCB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7C582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CBA04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3A8D0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FC1FF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</w:tr>
      <w:tr w14:paraId="78324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84D61F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31A639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E346A7">
            <w:pPr>
              <w:widowControl/>
              <w:spacing w:line="350" w:lineRule="exact"/>
              <w:rPr>
                <w:rFonts w:hint="eastAsia" w:ascii="仿宋_GB2312" w:hAnsi="黑体" w:eastAsia="仿宋_GB2312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3.要求提供公开出版物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4A811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D4214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812F5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A7152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98C52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AD86E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50857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04439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CAFBB0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336A6C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68857D">
            <w:pPr>
              <w:widowControl/>
              <w:spacing w:line="350" w:lineRule="exact"/>
              <w:rPr>
                <w:rFonts w:hint="eastAsia" w:ascii="仿宋_GB2312" w:hAnsi="黑体" w:eastAsia="仿宋_GB2312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4.无正当理由大量反复申请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8C5DC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C7A62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452DF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7050E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AE062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66DDB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F5093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085B8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637C07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0E2ED4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49A6A7">
            <w:pPr>
              <w:widowControl/>
              <w:spacing w:line="350" w:lineRule="exact"/>
              <w:rPr>
                <w:rFonts w:hint="eastAsia" w:ascii="仿宋_GB2312" w:hAnsi="黑体" w:eastAsia="仿宋_GB2312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5.要求行政机关确认或重新出具已获取信息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0087CD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7A0F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9B587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42344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4DB7B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858BA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CD17E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5B235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DD2B38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F15F30">
            <w:pPr>
              <w:widowControl/>
              <w:spacing w:line="350" w:lineRule="exact"/>
              <w:rPr>
                <w:rFonts w:hint="eastAsia"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（六）其他处理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8789311">
            <w:pPr>
              <w:widowControl/>
              <w:spacing w:line="350" w:lineRule="exact"/>
              <w:rPr>
                <w:rFonts w:hint="eastAsia" w:ascii="仿宋_GB2312" w:hAnsi="楷体" w:eastAsia="仿宋_GB2312"/>
                <w:sz w:val="24"/>
                <w:szCs w:val="24"/>
              </w:rPr>
            </w:pPr>
            <w:r>
              <w:rPr>
                <w:rFonts w:hint="eastAsia" w:ascii="仿宋_GB2312" w:hAnsi="楷体" w:eastAsia="仿宋_GB2312"/>
                <w:sz w:val="24"/>
                <w:szCs w:val="24"/>
              </w:rPr>
              <w:t>1.申请人无正当理由逾期不补正、行政机关不再处理其政府信息公开申请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62546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CA2D1A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D6BA0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E1DE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F03F9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52982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A98E6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</w:tr>
      <w:tr w14:paraId="63C9F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7C4D71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E052D6">
            <w:pPr>
              <w:widowControl/>
              <w:spacing w:line="350" w:lineRule="exact"/>
              <w:rPr>
                <w:rFonts w:hint="eastAsia" w:ascii="黑体" w:hAnsi="黑体" w:eastAsia="黑体"/>
                <w:kern w:val="0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vAlign w:val="center"/>
          </w:tcPr>
          <w:p w14:paraId="7DCA4A64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楷体" w:eastAsia="仿宋_GB2312"/>
                <w:sz w:val="24"/>
                <w:szCs w:val="24"/>
              </w:rPr>
              <w:t>2.申请人逾期未按收费通知要求缴纳费用、行政机关不再处理其政府信息公开申请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32211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5C39FD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16B39F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253BE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DAB78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3D93D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8C6CE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</w:tr>
      <w:tr w14:paraId="6DA49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D5AA3B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24174E">
            <w:pPr>
              <w:widowControl/>
              <w:spacing w:line="350" w:lineRule="exact"/>
              <w:rPr>
                <w:rFonts w:hint="eastAsia" w:ascii="黑体" w:hAnsi="黑体" w:eastAsia="黑体"/>
                <w:kern w:val="0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vAlign w:val="center"/>
          </w:tcPr>
          <w:p w14:paraId="73E52733">
            <w:pPr>
              <w:widowControl/>
              <w:spacing w:line="350" w:lineRule="exact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楷体" w:eastAsia="仿宋_GB2312"/>
                <w:sz w:val="24"/>
                <w:szCs w:val="24"/>
              </w:rPr>
              <w:t>3.其他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C9D382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7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C7479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4394ED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8714A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B4581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C4A17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40E52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7</w:t>
            </w:r>
          </w:p>
        </w:tc>
      </w:tr>
      <w:tr w14:paraId="10463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0AA8F1">
            <w:pPr>
              <w:spacing w:line="350" w:lineRule="exact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0372F7">
            <w:pPr>
              <w:widowControl/>
              <w:spacing w:line="350" w:lineRule="exact"/>
              <w:rPr>
                <w:rFonts w:hint="eastAsia"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（七）总计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7C9880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520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FA1AF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205AF8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27815E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925C99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F1F654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61493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541</w:t>
            </w:r>
          </w:p>
        </w:tc>
      </w:tr>
      <w:tr w14:paraId="21975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75F753">
            <w:pPr>
              <w:widowControl/>
              <w:spacing w:line="350" w:lineRule="exact"/>
              <w:rPr>
                <w:rFonts w:hint="eastAsia"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四、结转下年度继续办理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BF9945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945031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CD8CB6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92AE87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BF155C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92310D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C2AC9B">
            <w:pPr>
              <w:widowControl/>
              <w:spacing w:line="350" w:lineRule="exact"/>
              <w:jc w:val="center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</w:rPr>
              <w:t>2</w:t>
            </w:r>
          </w:p>
        </w:tc>
      </w:tr>
      <w:bookmarkEnd w:id="1"/>
    </w:tbl>
    <w:p w14:paraId="6B7F30E4"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四、政府信息公开行政复议、行政诉讼情况</w:t>
      </w:r>
    </w:p>
    <w:tbl>
      <w:tblPr>
        <w:tblStyle w:val="7"/>
        <w:tblW w:w="9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6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 w14:paraId="58D14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252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845C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行政复议</w:t>
            </w:r>
          </w:p>
        </w:tc>
        <w:tc>
          <w:tcPr>
            <w:tcW w:w="6503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14B60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行政诉讼</w:t>
            </w:r>
          </w:p>
        </w:tc>
      </w:tr>
      <w:tr w14:paraId="4C60B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075A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结果维持</w:t>
            </w:r>
          </w:p>
        </w:tc>
        <w:tc>
          <w:tcPr>
            <w:tcW w:w="6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D1B8C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6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6B8F7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</w:p>
        </w:tc>
        <w:tc>
          <w:tcPr>
            <w:tcW w:w="6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F60CF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64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1208E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总计</w:t>
            </w:r>
          </w:p>
        </w:tc>
        <w:tc>
          <w:tcPr>
            <w:tcW w:w="3248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8445C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未经复议直接起诉</w:t>
            </w:r>
          </w:p>
        </w:tc>
        <w:tc>
          <w:tcPr>
            <w:tcW w:w="325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B401D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复议后起诉</w:t>
            </w:r>
          </w:p>
        </w:tc>
      </w:tr>
      <w:tr w14:paraId="7ED37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56" w:type="dxa"/>
            <w:vMerge w:val="continue"/>
            <w:vAlign w:val="center"/>
          </w:tcPr>
          <w:p w14:paraId="3CE33DE2">
            <w:pPr>
              <w:widowControl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649" w:type="dxa"/>
            <w:vMerge w:val="continue"/>
            <w:vAlign w:val="center"/>
          </w:tcPr>
          <w:p w14:paraId="09F3956C">
            <w:pPr>
              <w:widowControl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649" w:type="dxa"/>
            <w:vMerge w:val="continue"/>
            <w:vAlign w:val="center"/>
          </w:tcPr>
          <w:p w14:paraId="12CB19EA">
            <w:pPr>
              <w:widowControl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649" w:type="dxa"/>
            <w:vMerge w:val="continue"/>
            <w:vAlign w:val="center"/>
          </w:tcPr>
          <w:p w14:paraId="40400197">
            <w:pPr>
              <w:widowControl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649" w:type="dxa"/>
            <w:vMerge w:val="continue"/>
            <w:vAlign w:val="center"/>
          </w:tcPr>
          <w:p w14:paraId="1EA472A5">
            <w:pPr>
              <w:widowControl/>
              <w:spacing w:line="360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32158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维持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379BE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54E27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85D8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10E21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总计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1988A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维持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33DA8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4DF8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A8DFB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88E39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总计</w:t>
            </w:r>
          </w:p>
        </w:tc>
      </w:tr>
      <w:tr w14:paraId="0A26F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4760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AE8A8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FF505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F5CBA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99F6A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2F3C9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73E14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463C2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26B88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4EFE6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99FF4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FE002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01DF1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54F30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  <w:tc>
          <w:tcPr>
            <w:tcW w:w="6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C9E12"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0</w:t>
            </w:r>
          </w:p>
        </w:tc>
      </w:tr>
    </w:tbl>
    <w:p w14:paraId="003FC38F"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五、存在的主要问题及改进情况</w:t>
      </w:r>
    </w:p>
    <w:p w14:paraId="7796517D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2024年，市政府办公厅政府信息公开工作取得了一定成绩，但也存在一些问题和不足，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政务公开服务企业、群众的广度和深度有待进一步加强，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政府信息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传播效率和覆盖面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有待进一步提高。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针对上述问题，将重点抓好以下工作：</w:t>
      </w:r>
      <w:bookmarkStart w:id="11" w:name="OLE_LINK2"/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一是进一步提升政务公开工作“三服务”能力水平，</w:t>
      </w:r>
      <w:r>
        <w:rPr>
          <w:rFonts w:hint="eastAsia" w:ascii="仿宋_GB2312" w:hAnsi="仿宋_GB2312" w:eastAsia="仿宋_GB2312"/>
          <w:sz w:val="32"/>
        </w:rPr>
        <w:t>以公众需求为导向，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做好政策精准推送，实现政策直达基层、直达企业、直达群众；深化惠企利民政策“直达快享”“免申即享”，推进兑现事项和符合条件企业的精准匹配和智能推送。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二是进一步提高政策解读质量和宣传推广力度，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采用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群众喜闻乐见的形式和生动活泼的语言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，对政策文件进行多角度深度解读，通过政府网站、政务新媒体、新闻媒体、新闻发布会、政府开放日等渠道，加大政府信息的宣传推广力度，提高群众的知晓率和理解度。</w:t>
      </w:r>
    </w:p>
    <w:bookmarkEnd w:id="11"/>
    <w:p w14:paraId="14049740"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六、其他需要报告的事项</w:t>
      </w:r>
    </w:p>
    <w:p w14:paraId="293402DC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仿宋_GB2312" w:eastAsia="楷体_GB2312" w:cs="仿宋_GB2312"/>
          <w:kern w:val="0"/>
          <w:sz w:val="32"/>
          <w:szCs w:val="32"/>
        </w:rPr>
        <w:t>（一）依据《政府信息公开信息处理费管理办法》收取信息处理费的情况：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无。</w:t>
      </w:r>
    </w:p>
    <w:p w14:paraId="5769D30C">
      <w:pPr>
        <w:widowControl/>
        <w:shd w:val="clear" w:color="auto" w:fill="FFFFFF"/>
        <w:spacing w:line="560" w:lineRule="exact"/>
        <w:ind w:firstLine="640" w:firstLineChars="200"/>
        <w:rPr>
          <w:rFonts w:hint="eastAsia" w:ascii="楷体_GB2312" w:hAnsi="仿宋_GB2312" w:eastAsia="楷体_GB2312" w:cs="仿宋_GB2312"/>
          <w:kern w:val="0"/>
          <w:sz w:val="32"/>
          <w:szCs w:val="32"/>
        </w:rPr>
      </w:pPr>
      <w:r>
        <w:rPr>
          <w:rFonts w:hint="eastAsia" w:ascii="楷体_GB2312" w:hAnsi="仿宋_GB2312" w:eastAsia="楷体_GB2312" w:cs="仿宋_GB2312"/>
          <w:kern w:val="0"/>
          <w:sz w:val="32"/>
          <w:szCs w:val="32"/>
        </w:rPr>
        <w:t>（二）本行政机关落实上级年度政务公开工作要点情况：</w:t>
      </w:r>
    </w:p>
    <w:p w14:paraId="36514679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按照《2024年山东省政务公开工作要点》（鲁政办发〔2024〕2号）工作要</w:t>
      </w:r>
      <w:r>
        <w:rPr>
          <w:rFonts w:hint="eastAsia" w:ascii="仿宋_GB2312" w:hAnsi="仿宋_GB2312" w:eastAsia="仿宋_GB2312" w:cs="仿宋_GB2312"/>
          <w:sz w:val="32"/>
          <w:szCs w:val="32"/>
        </w:rPr>
        <w:t>求，结合济南市实际，市政府办公厅出台了《2024年济南市政务公开工作要点》（济政办发〔2024〕6号），进一步明确2024年济南市政务公开工作的总体要求、重点任务和责任分工，要求准确把握新时代政务公开新形势、新任务、新要求，更好发挥政务公开功能作用，以高质量政务公开推动经济社会高质量发展；通过制定责任清单，进一步细化任务执行的具体步骤与时间节点，对全年政务公开工作核心任务和工作目标进行分解和明确；通过</w:t>
      </w:r>
      <w:bookmarkStart w:id="12" w:name="OLE_LINK1"/>
      <w:r>
        <w:rPr>
          <w:rFonts w:hint="eastAsia" w:ascii="仿宋_GB2312" w:hAnsi="仿宋_GB2312" w:eastAsia="仿宋_GB2312" w:cs="仿宋_GB2312"/>
          <w:sz w:val="32"/>
          <w:szCs w:val="32"/>
        </w:rPr>
        <w:t>持续深化政企政民互动，让政企政民沟通交流更顺畅，</w:t>
      </w:r>
      <w:bookmarkEnd w:id="12"/>
      <w:r>
        <w:rPr>
          <w:rFonts w:hint="eastAsia" w:ascii="仿宋_GB2312" w:hAnsi="仿宋_GB2312" w:eastAsia="仿宋_GB2312" w:cs="仿宋_GB2312"/>
          <w:sz w:val="32"/>
          <w:szCs w:val="32"/>
        </w:rPr>
        <w:t>进一步推动政务公开工作向纵深发展；通过建立健全监督机制，</w:t>
      </w:r>
      <w:bookmarkStart w:id="13" w:name="OLE_LINK4"/>
      <w:r>
        <w:rPr>
          <w:rFonts w:hint="eastAsia" w:ascii="仿宋_GB2312" w:hAnsi="仿宋_GB2312" w:eastAsia="仿宋_GB2312" w:cs="仿宋_GB2312"/>
          <w:sz w:val="32"/>
          <w:szCs w:val="32"/>
        </w:rPr>
        <w:t>进一步加强监督检查，严格落实责任追究制度</w:t>
      </w:r>
      <w:bookmarkEnd w:id="13"/>
      <w:r>
        <w:rPr>
          <w:rFonts w:hint="eastAsia" w:ascii="仿宋_GB2312" w:hAnsi="仿宋_GB2312" w:eastAsia="仿宋_GB2312" w:cs="仿宋_GB2312"/>
          <w:sz w:val="32"/>
          <w:szCs w:val="32"/>
        </w:rPr>
        <w:t>，确保工作任务得到有效执行与落实。</w:t>
      </w:r>
    </w:p>
    <w:p w14:paraId="7D878A5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4217035" cy="2651760"/>
            <wp:effectExtent l="0" t="0" r="444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8BCD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一是推进政策服务提质增效。</w:t>
      </w:r>
      <w:r>
        <w:rPr>
          <w:rFonts w:hint="eastAsia" w:ascii="仿宋_GB2312" w:hAnsi="仿宋_GB2312" w:eastAsia="仿宋_GB2312" w:cs="仿宋_GB2312"/>
          <w:sz w:val="32"/>
          <w:szCs w:val="32"/>
        </w:rPr>
        <w:t>加强市政府文件库建设，高质量动态更新本级文件，探索优化政策信息点对点推送和政府公报数字化；准确把握政策解读工作重点，开展深入解读，加速释放政策红利；切实提高解读质量,多角度全方位开展解读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二是深化政企政民互动交流。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征求意见、听证座谈、实地走访、民意调查等方式扩大公众参与，邀请利益相关方、公众代表、企业法人等列席政府有关会议；组织开展“泉诚公开、政府开放”系列活动，推动政府开放活动常态化；统筹做好领导信箱、在线访谈、网友留言、意见征集、建言献策等互动渠道建设，提高互动交流实效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三是提升依申请公开工作水平。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依法答复工作，全面提升全市依申请公开办理水平，研究建立跨层级、跨部门协调联动工作机制和相关转办机制；建设市级依申请公开数字化管理平台，实现对依申请公开的全流程监管，严格落实全省依申请公开一体化管理平台建设工作要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四是打造集约高效公开平台。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做好政务公开专题专栏建设，持续改善政府网站服务效能；完善政策问答平台，实现政府网站、12345热线、政务服务平台、政务新媒体等多渠道信息数据共享。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五是夯实政务公开工作基础。</w:t>
      </w:r>
      <w:r>
        <w:rPr>
          <w:rFonts w:hint="eastAsia" w:ascii="仿宋_GB2312" w:hAnsi="仿宋_GB2312" w:eastAsia="仿宋_GB2312" w:cs="仿宋_GB2312"/>
          <w:sz w:val="32"/>
          <w:szCs w:val="32"/>
        </w:rPr>
        <w:t>加大培训力度，学习先进城市经验做法，提升我市政务公开工作水平；完成市政府及市政府办公厅主动公开事项目录编制工作；开展政务公开工作典型案例、优秀政策解读案例、依申请公开案例评选活动，交流分享创新经验做法，发挥示范引领作用。</w:t>
      </w:r>
    </w:p>
    <w:p w14:paraId="2F5F15F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193925" cy="2837815"/>
            <wp:effectExtent l="0" t="0" r="635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4880" cy="2835910"/>
            <wp:effectExtent l="0" t="0" r="1016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5954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仿宋_GB2312" w:eastAsia="楷体_GB2312" w:cs="仿宋_GB2312"/>
          <w:kern w:val="0"/>
          <w:sz w:val="32"/>
          <w:szCs w:val="32"/>
        </w:rPr>
        <w:t>（三）本行政机关人大代表建议和政协提案办理结果公开情况：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2024年，市政府办公厅以市政府名义共承办并公开省人大代表建议4件、省政协提案14件，已全部办结，满意率100%。</w:t>
      </w:r>
    </w:p>
    <w:p w14:paraId="13CF687D">
      <w:pPr>
        <w:widowControl/>
        <w:shd w:val="clear" w:color="auto" w:fill="FFFFFF"/>
        <w:spacing w:line="560" w:lineRule="exact"/>
        <w:ind w:firstLine="640" w:firstLineChars="200"/>
        <w:rPr>
          <w:rFonts w:hint="eastAsia" w:ascii="楷体_GB2312" w:hAnsi="仿宋_GB2312" w:eastAsia="楷体_GB2312" w:cs="仿宋_GB2312"/>
          <w:kern w:val="0"/>
          <w:sz w:val="32"/>
          <w:szCs w:val="32"/>
          <w:lang w:eastAsia="zh-CN"/>
        </w:rPr>
      </w:pPr>
      <w:r>
        <w:rPr>
          <w:rFonts w:hint="eastAsia" w:ascii="楷体_GB2312" w:hAnsi="仿宋_GB2312" w:eastAsia="楷体_GB2312" w:cs="仿宋_GB2312"/>
          <w:kern w:val="0"/>
          <w:sz w:val="32"/>
          <w:szCs w:val="32"/>
        </w:rPr>
        <w:t>（四）本行政机关年度政务公开工作创新情况</w:t>
      </w:r>
      <w:r>
        <w:rPr>
          <w:rFonts w:hint="eastAsia" w:ascii="楷体_GB2312" w:hAnsi="仿宋_GB2312" w:eastAsia="楷体_GB2312" w:cs="仿宋_GB2312"/>
          <w:kern w:val="0"/>
          <w:sz w:val="32"/>
          <w:szCs w:val="32"/>
          <w:lang w:eastAsia="zh-CN"/>
        </w:rPr>
        <w:t>：</w:t>
      </w:r>
    </w:p>
    <w:p w14:paraId="319262BB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一是依申请公开办理突出个人信息保护。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为提高依申请公开办理信息化、数字化、智能化工作水平，建设“全市政府信息依申请公开智能化办理系统”；日常办理工作中，通过健全完善个人隐私保护相关管理制度和技术保护机制，对政府信息公开中的个人隐私信息进行合理有效保护，坚决防范申请人个人信息泄露风险。</w:t>
      </w:r>
      <w:r>
        <w:rPr>
          <w:rFonts w:hint="eastAsia" w:ascii="仿宋_GB2312" w:eastAsia="仿宋_GB2312"/>
          <w:sz w:val="32"/>
          <w:szCs w:val="32"/>
        </w:rPr>
        <w:t>“济南市政府信息依申请公开工作个人信息保护案例”入选山东省个人信息保护优秀典型案例。</w:t>
      </w:r>
    </w:p>
    <w:p w14:paraId="19450DE3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二是把提升业务能力摆在突出位置。</w:t>
      </w:r>
      <w:r>
        <w:rPr>
          <w:rFonts w:hint="eastAsia" w:ascii="仿宋_GB2312" w:eastAsia="仿宋_GB2312"/>
          <w:sz w:val="32"/>
          <w:szCs w:val="32"/>
        </w:rPr>
        <w:t>在全市政府办公系统“业务培训月”暨市政府办公厅领航处长讲坛活动中，将政务公开工作专题培训作为第一课，邀请省政府办公厅领导现场授课；坚持市区同责、督帮一体、上下联动，狠抓短板提升，针对依申请公开、政务公开效能监测薄弱指标项，先后邀请政务公开领域专家、省市行政复议办领导、法律从业者授课辅导，分批次、分专题完成对43个市政府部门（单位）、15</w:t>
      </w:r>
      <w:r>
        <w:rPr>
          <w:rFonts w:ascii="仿宋_GB2312" w:eastAsia="仿宋_GB2312"/>
          <w:sz w:val="32"/>
          <w:szCs w:val="32"/>
        </w:rPr>
        <w:t>个区县</w:t>
      </w:r>
      <w:r>
        <w:rPr>
          <w:rFonts w:hint="eastAsia" w:ascii="仿宋_GB2312" w:eastAsia="仿宋_GB2312"/>
          <w:sz w:val="32"/>
          <w:szCs w:val="32"/>
        </w:rPr>
        <w:t>（功能区）及市政府办公厅各处室共1000余人次的业务轮训。</w:t>
      </w:r>
    </w:p>
    <w:p w14:paraId="4A778DCE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三是政务公开品牌体系建设初具规模。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“泉诚公开”为抓手，不断拓展宣传渠道，丰富传播形式，唱响新时代政务公开主旋律，打造“泉诚公开”品牌体系，品牌效应日益彰显。“泉诚公开”品牌体系主要包含“泉方位”政策解读、“泉诚开放、政府开放”、“泉”库汇聚政府文件库、“泉惠企”企业服务综合平台、“泉诚”e矩阵、</w:t>
      </w:r>
      <w:bookmarkStart w:id="14" w:name="_Hlk17408694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“泉诚公开驿站”政务公开专区</w:t>
      </w:r>
      <w:bookmarkEnd w:id="1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等子品牌。</w:t>
      </w:r>
    </w:p>
    <w:p w14:paraId="73C8355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59405" cy="751205"/>
            <wp:effectExtent l="0" t="0" r="5715" b="10795"/>
            <wp:docPr id="7" name="图片 7" descr="b2228c1fe915bec129e3376f261e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228c1fe915bec129e3376f261e405"/>
                    <pic:cNvPicPr>
                      <a:picLocks noChangeAspect="1"/>
                    </pic:cNvPicPr>
                  </pic:nvPicPr>
                  <pic:blipFill>
                    <a:blip r:embed="rId14"/>
                    <a:srcRect t="36958" b="36770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F9DC"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仿宋_GB2312" w:eastAsia="楷体_GB2312" w:cs="仿宋_GB2312"/>
          <w:kern w:val="0"/>
          <w:sz w:val="32"/>
          <w:szCs w:val="32"/>
        </w:rPr>
        <w:t>（五）信息公开工作年度报告数据统计需要说明的事项：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行政机关收到和处理政府信息公开申请情况中，第三项“本年度办理结果”中第（六）项“其他处理”中第3项“其他”的7件依申请公开属于“申请人自愿撤回申请”。</w:t>
      </w: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2FC01">
    <w:pPr>
      <w:pStyle w:val="4"/>
      <w:ind w:firstLine="562"/>
      <w:jc w:val="center"/>
      <w:rPr>
        <w:rFonts w:hint="eastAsia"/>
      </w:rPr>
    </w:pPr>
    <w:sdt>
      <w:sdtPr>
        <w:rPr>
          <w:rFonts w:ascii="宋体" w:hAnsi="宋体" w:eastAsia="宋体"/>
          <w:sz w:val="28"/>
          <w:szCs w:val="28"/>
        </w:rPr>
        <w:id w:val="-970817728"/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8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sdtContent>
    </w:sdt>
  </w:p>
  <w:p w14:paraId="075E2180">
    <w:pPr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502C34"/>
    <w:rsid w:val="000013E6"/>
    <w:rsid w:val="00012C8C"/>
    <w:rsid w:val="00017000"/>
    <w:rsid w:val="0003350B"/>
    <w:rsid w:val="000345F6"/>
    <w:rsid w:val="000456E4"/>
    <w:rsid w:val="000500B1"/>
    <w:rsid w:val="0006512C"/>
    <w:rsid w:val="000656E4"/>
    <w:rsid w:val="00085241"/>
    <w:rsid w:val="000A57BF"/>
    <w:rsid w:val="000B4F9F"/>
    <w:rsid w:val="000C1FDA"/>
    <w:rsid w:val="000C459C"/>
    <w:rsid w:val="000C58B4"/>
    <w:rsid w:val="000C5CE1"/>
    <w:rsid w:val="000C7DE8"/>
    <w:rsid w:val="000E2C55"/>
    <w:rsid w:val="000E4966"/>
    <w:rsid w:val="001139FE"/>
    <w:rsid w:val="00121655"/>
    <w:rsid w:val="00123D5D"/>
    <w:rsid w:val="00123E53"/>
    <w:rsid w:val="0013389B"/>
    <w:rsid w:val="0015000B"/>
    <w:rsid w:val="0015613D"/>
    <w:rsid w:val="001679FF"/>
    <w:rsid w:val="00180B4F"/>
    <w:rsid w:val="00182648"/>
    <w:rsid w:val="001905BD"/>
    <w:rsid w:val="00194C7F"/>
    <w:rsid w:val="00195385"/>
    <w:rsid w:val="00196721"/>
    <w:rsid w:val="001A2CC0"/>
    <w:rsid w:val="001B07D5"/>
    <w:rsid w:val="001B36A1"/>
    <w:rsid w:val="001B5866"/>
    <w:rsid w:val="001C0131"/>
    <w:rsid w:val="001E1F95"/>
    <w:rsid w:val="001E3A4B"/>
    <w:rsid w:val="001F026B"/>
    <w:rsid w:val="001F2FDF"/>
    <w:rsid w:val="00203F15"/>
    <w:rsid w:val="00211F6A"/>
    <w:rsid w:val="002338C1"/>
    <w:rsid w:val="002348A3"/>
    <w:rsid w:val="00241488"/>
    <w:rsid w:val="00243BAF"/>
    <w:rsid w:val="00254F2B"/>
    <w:rsid w:val="002702F4"/>
    <w:rsid w:val="002713F8"/>
    <w:rsid w:val="0027304E"/>
    <w:rsid w:val="00274177"/>
    <w:rsid w:val="00280894"/>
    <w:rsid w:val="00286BF3"/>
    <w:rsid w:val="00290F44"/>
    <w:rsid w:val="00294D5F"/>
    <w:rsid w:val="002B10FE"/>
    <w:rsid w:val="002B58BB"/>
    <w:rsid w:val="002C043E"/>
    <w:rsid w:val="002C322D"/>
    <w:rsid w:val="002E6CDA"/>
    <w:rsid w:val="002E76EF"/>
    <w:rsid w:val="0030018B"/>
    <w:rsid w:val="00312A41"/>
    <w:rsid w:val="00315DDF"/>
    <w:rsid w:val="00321219"/>
    <w:rsid w:val="00322614"/>
    <w:rsid w:val="00326AE4"/>
    <w:rsid w:val="00333740"/>
    <w:rsid w:val="00354B8C"/>
    <w:rsid w:val="00355284"/>
    <w:rsid w:val="00356E80"/>
    <w:rsid w:val="00372E47"/>
    <w:rsid w:val="00375D13"/>
    <w:rsid w:val="00384B12"/>
    <w:rsid w:val="00392DAD"/>
    <w:rsid w:val="00395854"/>
    <w:rsid w:val="00396030"/>
    <w:rsid w:val="003A6D0C"/>
    <w:rsid w:val="003B1145"/>
    <w:rsid w:val="003B58C6"/>
    <w:rsid w:val="003C16C1"/>
    <w:rsid w:val="003C1943"/>
    <w:rsid w:val="003D688C"/>
    <w:rsid w:val="003F2D15"/>
    <w:rsid w:val="003F6FB3"/>
    <w:rsid w:val="004162E7"/>
    <w:rsid w:val="00425CE9"/>
    <w:rsid w:val="004508C8"/>
    <w:rsid w:val="00454F08"/>
    <w:rsid w:val="00460160"/>
    <w:rsid w:val="00463EF5"/>
    <w:rsid w:val="00464CBD"/>
    <w:rsid w:val="00465B65"/>
    <w:rsid w:val="0047087D"/>
    <w:rsid w:val="00472A3F"/>
    <w:rsid w:val="00492934"/>
    <w:rsid w:val="004A0E7E"/>
    <w:rsid w:val="004C4032"/>
    <w:rsid w:val="004D3C2B"/>
    <w:rsid w:val="004D6D24"/>
    <w:rsid w:val="004F0AC0"/>
    <w:rsid w:val="00500635"/>
    <w:rsid w:val="00502C34"/>
    <w:rsid w:val="0050568B"/>
    <w:rsid w:val="00510D88"/>
    <w:rsid w:val="00515416"/>
    <w:rsid w:val="00515E7C"/>
    <w:rsid w:val="00516150"/>
    <w:rsid w:val="00516159"/>
    <w:rsid w:val="00530AC0"/>
    <w:rsid w:val="00531FBB"/>
    <w:rsid w:val="00540AC4"/>
    <w:rsid w:val="00552F1D"/>
    <w:rsid w:val="005548EB"/>
    <w:rsid w:val="00557891"/>
    <w:rsid w:val="00580918"/>
    <w:rsid w:val="005A2026"/>
    <w:rsid w:val="005C3DEC"/>
    <w:rsid w:val="005D7DB1"/>
    <w:rsid w:val="00600B8A"/>
    <w:rsid w:val="00610AC5"/>
    <w:rsid w:val="00612182"/>
    <w:rsid w:val="00614870"/>
    <w:rsid w:val="00621506"/>
    <w:rsid w:val="00625228"/>
    <w:rsid w:val="00633C9D"/>
    <w:rsid w:val="00637416"/>
    <w:rsid w:val="00661FB0"/>
    <w:rsid w:val="00664D59"/>
    <w:rsid w:val="00675DD7"/>
    <w:rsid w:val="00683E94"/>
    <w:rsid w:val="00690467"/>
    <w:rsid w:val="006A0059"/>
    <w:rsid w:val="006A005E"/>
    <w:rsid w:val="006A7E51"/>
    <w:rsid w:val="006B5301"/>
    <w:rsid w:val="006E2A67"/>
    <w:rsid w:val="006E339B"/>
    <w:rsid w:val="00702A0E"/>
    <w:rsid w:val="00703B7F"/>
    <w:rsid w:val="007168FF"/>
    <w:rsid w:val="00742227"/>
    <w:rsid w:val="0074508F"/>
    <w:rsid w:val="007453FA"/>
    <w:rsid w:val="00760120"/>
    <w:rsid w:val="00762607"/>
    <w:rsid w:val="00772B24"/>
    <w:rsid w:val="0078729C"/>
    <w:rsid w:val="0079080D"/>
    <w:rsid w:val="007A05F9"/>
    <w:rsid w:val="007B1CFC"/>
    <w:rsid w:val="007E43CD"/>
    <w:rsid w:val="007F3E8B"/>
    <w:rsid w:val="0081582B"/>
    <w:rsid w:val="00821FBF"/>
    <w:rsid w:val="008244CB"/>
    <w:rsid w:val="0082584C"/>
    <w:rsid w:val="00835C9D"/>
    <w:rsid w:val="00846109"/>
    <w:rsid w:val="0084624E"/>
    <w:rsid w:val="00851E51"/>
    <w:rsid w:val="00862AA1"/>
    <w:rsid w:val="008642AF"/>
    <w:rsid w:val="008807AE"/>
    <w:rsid w:val="008B7E0F"/>
    <w:rsid w:val="008C156F"/>
    <w:rsid w:val="008C548F"/>
    <w:rsid w:val="008C567D"/>
    <w:rsid w:val="008C63E3"/>
    <w:rsid w:val="008C68B1"/>
    <w:rsid w:val="008D6835"/>
    <w:rsid w:val="008D736A"/>
    <w:rsid w:val="008E5595"/>
    <w:rsid w:val="008F1CD7"/>
    <w:rsid w:val="008F2CDF"/>
    <w:rsid w:val="00913823"/>
    <w:rsid w:val="0091560C"/>
    <w:rsid w:val="00915738"/>
    <w:rsid w:val="00923DE3"/>
    <w:rsid w:val="00930721"/>
    <w:rsid w:val="0093548F"/>
    <w:rsid w:val="00940F82"/>
    <w:rsid w:val="009466A2"/>
    <w:rsid w:val="00946CF3"/>
    <w:rsid w:val="00951833"/>
    <w:rsid w:val="009556F7"/>
    <w:rsid w:val="00963C7E"/>
    <w:rsid w:val="009674B5"/>
    <w:rsid w:val="00971F39"/>
    <w:rsid w:val="00990BC0"/>
    <w:rsid w:val="00993A11"/>
    <w:rsid w:val="00994651"/>
    <w:rsid w:val="009A0D11"/>
    <w:rsid w:val="009A20F4"/>
    <w:rsid w:val="009A3F7B"/>
    <w:rsid w:val="009B07E4"/>
    <w:rsid w:val="009C6E7A"/>
    <w:rsid w:val="009D1EAC"/>
    <w:rsid w:val="009F282C"/>
    <w:rsid w:val="009F4450"/>
    <w:rsid w:val="00A05EA0"/>
    <w:rsid w:val="00A13080"/>
    <w:rsid w:val="00A14D7E"/>
    <w:rsid w:val="00A168C7"/>
    <w:rsid w:val="00A3540A"/>
    <w:rsid w:val="00A47B98"/>
    <w:rsid w:val="00A53B8D"/>
    <w:rsid w:val="00A565B0"/>
    <w:rsid w:val="00A707AA"/>
    <w:rsid w:val="00A9562B"/>
    <w:rsid w:val="00AB4910"/>
    <w:rsid w:val="00AC0838"/>
    <w:rsid w:val="00AC0B55"/>
    <w:rsid w:val="00AC41A9"/>
    <w:rsid w:val="00AE471E"/>
    <w:rsid w:val="00AF11CE"/>
    <w:rsid w:val="00B0360E"/>
    <w:rsid w:val="00B06CEF"/>
    <w:rsid w:val="00B16226"/>
    <w:rsid w:val="00B20E9B"/>
    <w:rsid w:val="00B24B30"/>
    <w:rsid w:val="00B31A68"/>
    <w:rsid w:val="00B439A6"/>
    <w:rsid w:val="00B514FE"/>
    <w:rsid w:val="00B53513"/>
    <w:rsid w:val="00B56B27"/>
    <w:rsid w:val="00B82BD5"/>
    <w:rsid w:val="00B839F2"/>
    <w:rsid w:val="00B846A3"/>
    <w:rsid w:val="00B9010B"/>
    <w:rsid w:val="00B937FD"/>
    <w:rsid w:val="00BA1959"/>
    <w:rsid w:val="00BA5CE9"/>
    <w:rsid w:val="00BB1402"/>
    <w:rsid w:val="00BB3BFC"/>
    <w:rsid w:val="00BD1F13"/>
    <w:rsid w:val="00BD2DFA"/>
    <w:rsid w:val="00BD2E19"/>
    <w:rsid w:val="00BE7C3A"/>
    <w:rsid w:val="00BF2FF7"/>
    <w:rsid w:val="00C00EF6"/>
    <w:rsid w:val="00C0461B"/>
    <w:rsid w:val="00C106D4"/>
    <w:rsid w:val="00C13A5C"/>
    <w:rsid w:val="00C166C3"/>
    <w:rsid w:val="00C2107C"/>
    <w:rsid w:val="00C24C5F"/>
    <w:rsid w:val="00C54A58"/>
    <w:rsid w:val="00C62BE4"/>
    <w:rsid w:val="00C74995"/>
    <w:rsid w:val="00C77430"/>
    <w:rsid w:val="00C8272A"/>
    <w:rsid w:val="00C914DE"/>
    <w:rsid w:val="00C97C40"/>
    <w:rsid w:val="00CA2A1F"/>
    <w:rsid w:val="00CE2B93"/>
    <w:rsid w:val="00CE332F"/>
    <w:rsid w:val="00CE4DA5"/>
    <w:rsid w:val="00CF1462"/>
    <w:rsid w:val="00CF3AAF"/>
    <w:rsid w:val="00CF5698"/>
    <w:rsid w:val="00D01338"/>
    <w:rsid w:val="00D06D4E"/>
    <w:rsid w:val="00D10113"/>
    <w:rsid w:val="00D1637E"/>
    <w:rsid w:val="00D206E1"/>
    <w:rsid w:val="00D35867"/>
    <w:rsid w:val="00D476DB"/>
    <w:rsid w:val="00D558FE"/>
    <w:rsid w:val="00D66DBB"/>
    <w:rsid w:val="00DA2B9F"/>
    <w:rsid w:val="00DB4341"/>
    <w:rsid w:val="00DD7168"/>
    <w:rsid w:val="00DE2707"/>
    <w:rsid w:val="00DE3FB4"/>
    <w:rsid w:val="00DF3523"/>
    <w:rsid w:val="00DF7D80"/>
    <w:rsid w:val="00E062F4"/>
    <w:rsid w:val="00E2682C"/>
    <w:rsid w:val="00E33794"/>
    <w:rsid w:val="00E37834"/>
    <w:rsid w:val="00E5166F"/>
    <w:rsid w:val="00E53B5C"/>
    <w:rsid w:val="00E62ECE"/>
    <w:rsid w:val="00E64041"/>
    <w:rsid w:val="00E67F1A"/>
    <w:rsid w:val="00E72FBD"/>
    <w:rsid w:val="00E751B8"/>
    <w:rsid w:val="00E85F21"/>
    <w:rsid w:val="00EB4A6E"/>
    <w:rsid w:val="00EC64E8"/>
    <w:rsid w:val="00ED6874"/>
    <w:rsid w:val="00ED698F"/>
    <w:rsid w:val="00EE37EE"/>
    <w:rsid w:val="00EE7943"/>
    <w:rsid w:val="00EF1A07"/>
    <w:rsid w:val="00F0051B"/>
    <w:rsid w:val="00F01622"/>
    <w:rsid w:val="00F03027"/>
    <w:rsid w:val="00F03291"/>
    <w:rsid w:val="00F03989"/>
    <w:rsid w:val="00F21D0E"/>
    <w:rsid w:val="00F26814"/>
    <w:rsid w:val="00F401BC"/>
    <w:rsid w:val="00F42818"/>
    <w:rsid w:val="00F4648D"/>
    <w:rsid w:val="00F57A9C"/>
    <w:rsid w:val="00F62A35"/>
    <w:rsid w:val="00F7173D"/>
    <w:rsid w:val="00F86564"/>
    <w:rsid w:val="00F90155"/>
    <w:rsid w:val="00FC01CB"/>
    <w:rsid w:val="00FC1CF8"/>
    <w:rsid w:val="00FC4152"/>
    <w:rsid w:val="00FD0A5D"/>
    <w:rsid w:val="00FD0D65"/>
    <w:rsid w:val="00FD5729"/>
    <w:rsid w:val="00FE2370"/>
    <w:rsid w:val="00FE6F29"/>
    <w:rsid w:val="00FE7038"/>
    <w:rsid w:val="00FE7384"/>
    <w:rsid w:val="00FF1856"/>
    <w:rsid w:val="00FF3FF5"/>
    <w:rsid w:val="00FF65C3"/>
    <w:rsid w:val="014A2906"/>
    <w:rsid w:val="02BC7D06"/>
    <w:rsid w:val="02F03BF7"/>
    <w:rsid w:val="04376843"/>
    <w:rsid w:val="07FF58FA"/>
    <w:rsid w:val="0834724A"/>
    <w:rsid w:val="08A96637"/>
    <w:rsid w:val="08BA0844"/>
    <w:rsid w:val="08F910A6"/>
    <w:rsid w:val="0F9D36EE"/>
    <w:rsid w:val="102313C5"/>
    <w:rsid w:val="1074577C"/>
    <w:rsid w:val="14125FD5"/>
    <w:rsid w:val="14305E5E"/>
    <w:rsid w:val="14B60A59"/>
    <w:rsid w:val="15021D37"/>
    <w:rsid w:val="163F682C"/>
    <w:rsid w:val="17B32A1F"/>
    <w:rsid w:val="17E34414"/>
    <w:rsid w:val="186509BF"/>
    <w:rsid w:val="19E83F82"/>
    <w:rsid w:val="1A450F5E"/>
    <w:rsid w:val="1AD02149"/>
    <w:rsid w:val="1C0302FC"/>
    <w:rsid w:val="1C835FD3"/>
    <w:rsid w:val="1D5B610C"/>
    <w:rsid w:val="213056EF"/>
    <w:rsid w:val="218D45DD"/>
    <w:rsid w:val="249C557D"/>
    <w:rsid w:val="25A641D2"/>
    <w:rsid w:val="27190DDB"/>
    <w:rsid w:val="283852AB"/>
    <w:rsid w:val="291D1EDC"/>
    <w:rsid w:val="29543F45"/>
    <w:rsid w:val="29C30C93"/>
    <w:rsid w:val="2CBC42DB"/>
    <w:rsid w:val="335C42EF"/>
    <w:rsid w:val="33A37FA3"/>
    <w:rsid w:val="33CE4E12"/>
    <w:rsid w:val="35B36039"/>
    <w:rsid w:val="37C81172"/>
    <w:rsid w:val="39367615"/>
    <w:rsid w:val="39461AFC"/>
    <w:rsid w:val="3C6A1695"/>
    <w:rsid w:val="3C787E8C"/>
    <w:rsid w:val="3DB114C5"/>
    <w:rsid w:val="3E554590"/>
    <w:rsid w:val="3E9C1ADC"/>
    <w:rsid w:val="3F224757"/>
    <w:rsid w:val="407D46A0"/>
    <w:rsid w:val="408B0C82"/>
    <w:rsid w:val="41790B49"/>
    <w:rsid w:val="43A93B8C"/>
    <w:rsid w:val="45545ECA"/>
    <w:rsid w:val="456A6B72"/>
    <w:rsid w:val="4A972463"/>
    <w:rsid w:val="4C2A2BB8"/>
    <w:rsid w:val="4C4B0D80"/>
    <w:rsid w:val="4D9F3131"/>
    <w:rsid w:val="4FDB070C"/>
    <w:rsid w:val="58A12453"/>
    <w:rsid w:val="59DD680D"/>
    <w:rsid w:val="5CE80A78"/>
    <w:rsid w:val="5E335914"/>
    <w:rsid w:val="5E5E2B95"/>
    <w:rsid w:val="5FC67B1C"/>
    <w:rsid w:val="5FCD1FAA"/>
    <w:rsid w:val="601C5E1C"/>
    <w:rsid w:val="619902D9"/>
    <w:rsid w:val="61C45941"/>
    <w:rsid w:val="62D578C9"/>
    <w:rsid w:val="638D1F52"/>
    <w:rsid w:val="650F16D6"/>
    <w:rsid w:val="653F1ED6"/>
    <w:rsid w:val="659A51EA"/>
    <w:rsid w:val="690600B1"/>
    <w:rsid w:val="6A1B0D99"/>
    <w:rsid w:val="6A366C68"/>
    <w:rsid w:val="6B79100E"/>
    <w:rsid w:val="6BC23C69"/>
    <w:rsid w:val="6C3D6102"/>
    <w:rsid w:val="6EAD55EF"/>
    <w:rsid w:val="70265674"/>
    <w:rsid w:val="71341C5F"/>
    <w:rsid w:val="720742A5"/>
    <w:rsid w:val="720F7FD6"/>
    <w:rsid w:val="75232716"/>
    <w:rsid w:val="76067942"/>
    <w:rsid w:val="7D99109C"/>
    <w:rsid w:val="7E36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unhideWhenUsed/>
    <w:qFormat/>
    <w:uiPriority w:val="99"/>
    <w:rPr>
      <w:color w:val="337AB7"/>
      <w:u w:val="single"/>
    </w:rPr>
  </w:style>
  <w:style w:type="character" w:styleId="11">
    <w:name w:val="HTML Definition"/>
    <w:basedOn w:val="8"/>
    <w:unhideWhenUsed/>
    <w:qFormat/>
    <w:uiPriority w:val="99"/>
    <w:rPr>
      <w:i/>
    </w:rPr>
  </w:style>
  <w:style w:type="character" w:styleId="12">
    <w:name w:val="Hyperlink"/>
    <w:basedOn w:val="8"/>
    <w:unhideWhenUsed/>
    <w:qFormat/>
    <w:uiPriority w:val="99"/>
    <w:rPr>
      <w:color w:val="337AB7"/>
      <w:u w:val="single"/>
    </w:rPr>
  </w:style>
  <w:style w:type="character" w:styleId="13">
    <w:name w:val="HTML Code"/>
    <w:basedOn w:val="8"/>
    <w:unhideWhenUsed/>
    <w:qFormat/>
    <w:uiPriority w:val="99"/>
    <w:rPr>
      <w:rFonts w:ascii="Menlo" w:hAnsi="Menlo" w:eastAsia="Menlo" w:cs="Menlo"/>
      <w:color w:val="C7254E"/>
      <w:sz w:val="21"/>
      <w:szCs w:val="21"/>
      <w:shd w:val="clear" w:color="auto" w:fill="F9F2F4"/>
    </w:rPr>
  </w:style>
  <w:style w:type="character" w:styleId="14">
    <w:name w:val="HTML Keyboard"/>
    <w:basedOn w:val="8"/>
    <w:unhideWhenUsed/>
    <w:qFormat/>
    <w:uiPriority w:val="99"/>
    <w:rPr>
      <w:rFonts w:hint="default" w:ascii="Menlo" w:hAnsi="Menlo" w:eastAsia="Menlo" w:cs="Menlo"/>
      <w:color w:val="FFFFFF"/>
      <w:sz w:val="21"/>
      <w:szCs w:val="21"/>
      <w:shd w:val="clear" w:color="auto" w:fill="333333"/>
    </w:rPr>
  </w:style>
  <w:style w:type="character" w:styleId="15">
    <w:name w:val="HTML Sample"/>
    <w:basedOn w:val="8"/>
    <w:unhideWhenUsed/>
    <w:qFormat/>
    <w:uiPriority w:val="99"/>
    <w:rPr>
      <w:rFonts w:hint="default" w:ascii="Menlo" w:hAnsi="Menlo" w:eastAsia="Menlo" w:cs="Menlo"/>
      <w:sz w:val="21"/>
      <w:szCs w:val="21"/>
    </w:rPr>
  </w:style>
  <w:style w:type="character" w:customStyle="1" w:styleId="16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8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2244</Words>
  <Characters>2340</Characters>
  <Lines>34</Lines>
  <Paragraphs>9</Paragraphs>
  <TotalTime>7</TotalTime>
  <ScaleCrop>false</ScaleCrop>
  <LinksUpToDate>false</LinksUpToDate>
  <CharactersWithSpaces>2340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2025-01-16T02:53:00Z</dcterms:created>
  <dc:creator>qiyuanhua0168@163.com</dc:creator>
  <cp:lastModifiedBy>山风</cp:lastModifiedBy>
  <cp:lastPrinted>2021-12-06T01:42:00Z</cp:lastPrinted>
  <dcterms:modified xsi:type="dcterms:W3CDTF">2025-01-24T08:53:17Z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179321386DC14D3D989854C54097D307</vt:lpwstr>
  </property>
  <property fmtid="{D5CDD505-2E9C-101B-9397-08002B2CF9AE}" pid="4" name="KSOTemplateDocerSaveRecord">
    <vt:lpwstr>eyJoZGlkIjoiMTgyY2Y5Y2UxZjkwY2NiYzg1MTM4ZmQzOTFhYWJhY2IiLCJ1c2VySWQiOiIxOTA0NDYwNiJ9</vt:lpwstr>
  </property>
</Properties>
</file>