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1E" w:rsidRDefault="0034488A">
      <w:pPr>
        <w:ind w:firstLineChars="0" w:firstLine="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《政府</w:t>
      </w:r>
      <w:r>
        <w:rPr>
          <w:rFonts w:ascii="黑体" w:eastAsia="黑体" w:hAnsi="黑体"/>
          <w:sz w:val="34"/>
          <w:szCs w:val="34"/>
        </w:rPr>
        <w:t>工作报告》</w:t>
      </w:r>
      <w:r>
        <w:rPr>
          <w:rFonts w:ascii="黑体" w:eastAsia="黑体" w:hAnsi="黑体" w:hint="eastAsia"/>
          <w:sz w:val="34"/>
          <w:szCs w:val="34"/>
        </w:rPr>
        <w:t>附件</w:t>
      </w:r>
      <w:bookmarkStart w:id="0" w:name="_GoBack"/>
      <w:bookmarkEnd w:id="0"/>
    </w:p>
    <w:p w:rsidR="004B5A1E" w:rsidRDefault="004B5A1E">
      <w:pPr>
        <w:ind w:firstLineChars="0" w:firstLine="0"/>
        <w:rPr>
          <w:rFonts w:ascii="方正小标宋简体" w:eastAsia="方正小标宋简体"/>
          <w:sz w:val="44"/>
          <w:szCs w:val="44"/>
        </w:rPr>
      </w:pPr>
    </w:p>
    <w:p w:rsidR="004B5A1E" w:rsidRDefault="0034488A">
      <w:pPr>
        <w:ind w:firstLineChars="0" w:firstLine="0"/>
        <w:jc w:val="center"/>
      </w:pPr>
      <w:r>
        <w:rPr>
          <w:rFonts w:ascii="方正小标宋简体" w:eastAsia="方正小标宋简体" w:hint="eastAsia"/>
          <w:sz w:val="44"/>
          <w:szCs w:val="44"/>
        </w:rPr>
        <w:t>《政府</w:t>
      </w:r>
      <w:r>
        <w:rPr>
          <w:rFonts w:ascii="方正小标宋简体" w:eastAsia="方正小标宋简体"/>
          <w:sz w:val="44"/>
          <w:szCs w:val="44"/>
        </w:rPr>
        <w:t>工作报告》</w:t>
      </w:r>
      <w:r>
        <w:rPr>
          <w:rFonts w:ascii="方正小标宋简体" w:eastAsia="方正小标宋简体" w:hint="eastAsia"/>
          <w:sz w:val="44"/>
          <w:szCs w:val="44"/>
        </w:rPr>
        <w:t>名词解释</w:t>
      </w:r>
    </w:p>
    <w:p w:rsidR="004B5A1E" w:rsidRDefault="004B5A1E">
      <w:pPr>
        <w:ind w:firstLineChars="0" w:firstLine="0"/>
        <w:rPr>
          <w:rFonts w:hAnsi="仿宋"/>
        </w:rPr>
      </w:pPr>
    </w:p>
    <w:p w:rsidR="004B5A1E" w:rsidRDefault="0034488A">
      <w:pPr>
        <w:ind w:firstLine="720"/>
      </w:pPr>
      <w:r>
        <w:rPr>
          <w:rFonts w:ascii="黑体" w:eastAsia="黑体" w:hAnsi="黑体" w:cs="黑体" w:hint="eastAsia"/>
        </w:rPr>
        <w:t>1.五个环节“三看三深化”：</w:t>
      </w:r>
      <w:r>
        <w:rPr>
          <w:rFonts w:hAnsi="仿宋" w:cs="Times New Roman" w:hint="eastAsia"/>
        </w:rPr>
        <w:t>即在产业项目谋划上，一看是否体现新发展理念，二看与本地主导产业的关联度强不强，三看对各类资本的吸引力强不强；一要深化按图索骥、建立产业项目“揭榜挂帅”机制，二要深化质量管理、完善项目谋划评价体系，三要深化奖励激励、提升谋划策划项目积极性。在项目落地上，一看项目实施主体是否明确，二看前期准备工作是否充分，三看要素保障是否到位；一要深化完善项目落地手续“预办理”制度，二要深化完善“四个并联”审批机制，三要深化完善项目要素保障机制。在项目建设上，一看工作组织，二</w:t>
      </w:r>
      <w:proofErr w:type="gramStart"/>
      <w:r>
        <w:rPr>
          <w:rFonts w:hAnsi="仿宋" w:cs="Times New Roman" w:hint="eastAsia"/>
        </w:rPr>
        <w:t>看推进</w:t>
      </w:r>
      <w:proofErr w:type="gramEnd"/>
      <w:r>
        <w:rPr>
          <w:rFonts w:hAnsi="仿宋" w:cs="Times New Roman" w:hint="eastAsia"/>
        </w:rPr>
        <w:t>效率，三看投资质量；一要深化问题解决闭环机制，二要深化对行业主管部门的投资考核机制，三要深化项目建设和投资工作统筹机制。在项目建成达效上，一看是否按期投入运行，二看是否达到预期目标，三看是否具有综合效益；一要深化项目建设和周边配套“双同步”机制，二要深</w:t>
      </w:r>
      <w:r>
        <w:rPr>
          <w:rFonts w:hAnsi="仿宋" w:cs="Times New Roman" w:hint="eastAsia"/>
        </w:rPr>
        <w:lastRenderedPageBreak/>
        <w:t>化全市统一的产销对接平台建设，三要深化完善项目建设后评估机制。在项目服务上，一看颗粒度，二看专业度，三看满意度；一要深化完善“泉惠企”和</w:t>
      </w:r>
      <w:r>
        <w:rPr>
          <w:rFonts w:hAnsi="仿宋" w:cs="Times New Roman"/>
        </w:rPr>
        <w:t>12345热线问题解决机制</w:t>
      </w:r>
      <w:r>
        <w:rPr>
          <w:rFonts w:hAnsi="仿宋" w:cs="Times New Roman" w:hint="eastAsia"/>
        </w:rPr>
        <w:t>，二要深化</w:t>
      </w:r>
      <w:proofErr w:type="gramStart"/>
      <w:r>
        <w:rPr>
          <w:rFonts w:hAnsi="仿宋" w:cs="Times New Roman" w:hint="eastAsia"/>
        </w:rPr>
        <w:t>完善惠企政策</w:t>
      </w:r>
      <w:proofErr w:type="gramEnd"/>
      <w:r>
        <w:rPr>
          <w:rFonts w:hAnsi="仿宋" w:cs="Times New Roman" w:hint="eastAsia"/>
        </w:rPr>
        <w:t>落实机制，三要深化完善项目建设的法治保障。</w:t>
      </w:r>
    </w:p>
    <w:p w:rsidR="004B5A1E" w:rsidRDefault="0034488A">
      <w:pPr>
        <w:ind w:firstLine="720"/>
      </w:pPr>
      <w:r>
        <w:rPr>
          <w:rFonts w:ascii="黑体" w:eastAsia="黑体" w:hAnsi="黑体" w:cs="黑体" w:hint="eastAsia"/>
        </w:rPr>
        <w:t>2.“两年重点突破”目标：</w:t>
      </w:r>
      <w:r>
        <w:rPr>
          <w:rFonts w:hint="eastAsia"/>
        </w:rPr>
        <w:t>即数字济南建设“一年夯实基础、两年重点突破、三年全面提升、四年示范引领”的目标。</w:t>
      </w:r>
    </w:p>
    <w:p w:rsidR="00152485" w:rsidRDefault="00152485" w:rsidP="00152485">
      <w:pPr>
        <w:adjustRightInd/>
        <w:snapToGrid/>
        <w:ind w:firstLine="720"/>
        <w:rPr>
          <w:rFonts w:hAnsi="黑体"/>
        </w:rPr>
      </w:pPr>
      <w:r>
        <w:rPr>
          <w:rFonts w:ascii="黑体" w:eastAsia="黑体" w:hAnsi="黑体" w:cs="黑体" w:hint="eastAsia"/>
          <w:bCs/>
          <w:color w:val="000000"/>
        </w:rPr>
        <w:t>3</w:t>
      </w:r>
      <w:r>
        <w:rPr>
          <w:rFonts w:ascii="黑体" w:eastAsia="黑体" w:hAnsi="黑体" w:hint="eastAsia"/>
        </w:rPr>
        <w:t>.黄河体育中心“一场两馆”：</w:t>
      </w:r>
      <w:r>
        <w:rPr>
          <w:rFonts w:hAnsi="黑体" w:hint="eastAsia"/>
        </w:rPr>
        <w:t>即济南新旧动能转换起步区黄河体育中心项目主要建设内容，其中“一场”指专业足球场，“两馆”指体育馆、游泳馆及全民健身中心。</w:t>
      </w:r>
    </w:p>
    <w:p w:rsidR="004B5A1E" w:rsidRDefault="00152485">
      <w:pPr>
        <w:ind w:firstLine="720"/>
      </w:pPr>
      <w:r>
        <w:rPr>
          <w:rFonts w:ascii="黑体" w:eastAsia="黑体" w:hAnsi="黑体" w:cs="黑体" w:hint="eastAsia"/>
        </w:rPr>
        <w:t>4</w:t>
      </w:r>
      <w:r w:rsidR="0034488A">
        <w:rPr>
          <w:rFonts w:ascii="黑体" w:eastAsia="黑体" w:hAnsi="黑体" w:cs="黑体" w:hint="eastAsia"/>
        </w:rPr>
        <w:t>.“3+1”现代产业体系：</w:t>
      </w:r>
      <w:r w:rsidR="0034488A">
        <w:rPr>
          <w:rFonts w:hint="eastAsia"/>
        </w:rPr>
        <w:t>即济南新旧动能转换起步区确定的“以新一代信息技术、高端装备、新能源新材料为主体，高端服务业为支撑”的现代产业体系。</w:t>
      </w:r>
    </w:p>
    <w:p w:rsidR="004B5A1E" w:rsidRDefault="00152485">
      <w:pPr>
        <w:ind w:firstLine="720"/>
      </w:pPr>
      <w:r>
        <w:rPr>
          <w:rFonts w:ascii="黑体" w:eastAsia="黑体" w:hAnsi="黑体" w:cs="黑体" w:hint="eastAsia"/>
        </w:rPr>
        <w:t>5</w:t>
      </w:r>
      <w:r w:rsidR="0034488A">
        <w:rPr>
          <w:rFonts w:ascii="黑体" w:eastAsia="黑体" w:hAnsi="黑体" w:cs="黑体" w:hint="eastAsia"/>
        </w:rPr>
        <w:t>.“一湖一环”绿道：</w:t>
      </w:r>
      <w:r w:rsidR="0034488A">
        <w:rPr>
          <w:rFonts w:hint="eastAsia"/>
        </w:rPr>
        <w:t>即大明湖</w:t>
      </w:r>
      <w:proofErr w:type="gramStart"/>
      <w:r w:rsidR="0034488A">
        <w:rPr>
          <w:rFonts w:hint="eastAsia"/>
        </w:rPr>
        <w:t>南岸见</w:t>
      </w:r>
      <w:proofErr w:type="gramEnd"/>
      <w:r w:rsidR="0034488A">
        <w:rPr>
          <w:rFonts w:hint="eastAsia"/>
        </w:rPr>
        <w:t>湖透绿、环绕护城河绿道连通，实现大明湖与济南古城的无界融合，全长6.6公里的泉水绿道全线贯通。</w:t>
      </w:r>
    </w:p>
    <w:p w:rsidR="004B5A1E" w:rsidRDefault="00152485">
      <w:pPr>
        <w:ind w:firstLine="720"/>
      </w:pPr>
      <w:r>
        <w:rPr>
          <w:rFonts w:ascii="黑体" w:eastAsia="黑体" w:hAnsi="黑体" w:cs="黑体" w:hint="eastAsia"/>
        </w:rPr>
        <w:t>6</w:t>
      </w:r>
      <w:r w:rsidR="0034488A">
        <w:rPr>
          <w:rFonts w:ascii="黑体" w:eastAsia="黑体" w:hAnsi="黑体" w:cs="黑体" w:hint="eastAsia"/>
        </w:rPr>
        <w:t>.行政处罚“四张清单”：</w:t>
      </w:r>
      <w:r w:rsidR="0034488A">
        <w:rPr>
          <w:rFonts w:hint="eastAsia"/>
        </w:rPr>
        <w:t>即不予处罚事项清单、减轻处罚事项清单、从轻处罚事项清单、从重</w:t>
      </w:r>
      <w:r w:rsidR="0034488A">
        <w:rPr>
          <w:rFonts w:hint="eastAsia"/>
        </w:rPr>
        <w:lastRenderedPageBreak/>
        <w:t>处罚事项清单。</w:t>
      </w:r>
    </w:p>
    <w:p w:rsidR="004B5A1E" w:rsidRDefault="00152485">
      <w:pPr>
        <w:adjustRightInd/>
        <w:snapToGrid/>
        <w:ind w:firstLine="720"/>
        <w:rPr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7</w:t>
      </w:r>
      <w:r w:rsidR="0034488A">
        <w:rPr>
          <w:rFonts w:ascii="黑体" w:eastAsia="黑体" w:hAnsi="黑体" w:cs="黑体" w:hint="eastAsia"/>
          <w:bCs/>
          <w:color w:val="000000"/>
        </w:rPr>
        <w:t>.“四抓四提升”：</w:t>
      </w:r>
      <w:r w:rsidR="0034488A">
        <w:rPr>
          <w:rFonts w:hint="eastAsia"/>
          <w:bCs/>
          <w:color w:val="000000"/>
        </w:rPr>
        <w:t>即抓谋划储备，提升项目质量；抓过程管理，提升推进效率；抓要素供给，提升保障水平；抓力量整合，提升服务能力。</w:t>
      </w:r>
    </w:p>
    <w:p w:rsidR="004B5A1E" w:rsidRDefault="00152485">
      <w:pPr>
        <w:ind w:firstLine="720"/>
      </w:pPr>
      <w:r>
        <w:rPr>
          <w:rFonts w:ascii="黑体" w:eastAsia="黑体" w:hAnsi="黑体" w:cs="黑体" w:hint="eastAsia"/>
          <w:bCs/>
          <w:color w:val="000000"/>
        </w:rPr>
        <w:t>8</w:t>
      </w:r>
      <w:r w:rsidR="0034488A">
        <w:rPr>
          <w:rFonts w:ascii="黑体" w:eastAsia="黑体" w:hAnsi="黑体" w:cs="黑体" w:hint="eastAsia"/>
          <w:bCs/>
          <w:color w:val="000000"/>
        </w:rPr>
        <w:t>.项目建设和周边配套“双同步”机制：</w:t>
      </w:r>
      <w:r w:rsidR="0034488A">
        <w:rPr>
          <w:rFonts w:hint="eastAsia"/>
        </w:rPr>
        <w:t>即在项目落地实施过程中，同步谋划配套项目周边道路、绿化、雨水、污水管网等基础设施，做到同步规划设计、同步建设实施。</w:t>
      </w:r>
    </w:p>
    <w:p w:rsidR="004B5A1E" w:rsidRDefault="00152485">
      <w:pPr>
        <w:ind w:firstLine="720"/>
      </w:pPr>
      <w:r>
        <w:rPr>
          <w:rFonts w:ascii="黑体" w:eastAsia="黑体" w:hAnsi="黑体" w:cs="黑体" w:hint="eastAsia"/>
        </w:rPr>
        <w:t>9</w:t>
      </w:r>
      <w:r w:rsidR="0034488A">
        <w:rPr>
          <w:rFonts w:ascii="黑体" w:eastAsia="黑体" w:hAnsi="黑体" w:cs="黑体" w:hint="eastAsia"/>
        </w:rPr>
        <w:t>.9710模式：</w:t>
      </w:r>
      <w:r w:rsidR="0034488A">
        <w:rPr>
          <w:rFonts w:hint="eastAsia"/>
        </w:rPr>
        <w:t>即跨境电商企业通过电商平台直接与境外企业达成交易，并通过跨境物流将商品批量出口到境外。</w:t>
      </w:r>
    </w:p>
    <w:p w:rsidR="004B5A1E" w:rsidRDefault="00152485">
      <w:pPr>
        <w:ind w:firstLine="720"/>
      </w:pPr>
      <w:r>
        <w:rPr>
          <w:rFonts w:ascii="黑体" w:eastAsia="黑体" w:hAnsi="黑体" w:cs="黑体" w:hint="eastAsia"/>
        </w:rPr>
        <w:t>10</w:t>
      </w:r>
      <w:r w:rsidR="0034488A">
        <w:rPr>
          <w:rFonts w:ascii="黑体" w:eastAsia="黑体" w:hAnsi="黑体" w:cs="黑体" w:hint="eastAsia"/>
        </w:rPr>
        <w:t>.RISC-V：</w:t>
      </w:r>
      <w:r w:rsidR="0034488A">
        <w:rPr>
          <w:rFonts w:hint="eastAsia"/>
        </w:rPr>
        <w:t>即基于精简指令集（RISC）原则的新一代芯片开源指令集架构，具有开源、简单、高效、可扩展等特性，已成为与x86、ARM架构同等重要的主流架构。</w:t>
      </w:r>
    </w:p>
    <w:p w:rsidR="004B5A1E" w:rsidRDefault="0034488A">
      <w:pPr>
        <w:ind w:firstLine="720"/>
      </w:pPr>
      <w:r>
        <w:rPr>
          <w:rFonts w:ascii="黑体" w:eastAsia="黑体" w:hAnsi="黑体" w:cs="黑体" w:hint="eastAsia"/>
        </w:rPr>
        <w:t>1</w:t>
      </w:r>
      <w:r w:rsidR="00152485"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 w:hint="eastAsia"/>
        </w:rPr>
        <w:t>.“四港三区”：</w:t>
      </w:r>
      <w:r>
        <w:rPr>
          <w:rFonts w:hint="eastAsia"/>
        </w:rPr>
        <w:t>“四港”</w:t>
      </w:r>
      <w:proofErr w:type="gramStart"/>
      <w:r>
        <w:rPr>
          <w:rFonts w:hint="eastAsia"/>
        </w:rPr>
        <w:t>即遥墙国际</w:t>
      </w:r>
      <w:proofErr w:type="gramEnd"/>
      <w:r>
        <w:rPr>
          <w:rFonts w:hint="eastAsia"/>
        </w:rPr>
        <w:t>机场、董家铁路货运枢纽、济南东站、小清河济南港，“三区”即临空经济区、东客站片区、董家铁路货运枢纽地区。</w:t>
      </w:r>
    </w:p>
    <w:p w:rsidR="004B5A1E" w:rsidRDefault="0034488A">
      <w:pPr>
        <w:adjustRightInd/>
        <w:snapToGrid/>
        <w:ind w:firstLine="720"/>
        <w:rPr>
          <w:bCs/>
          <w:color w:val="000000"/>
        </w:rPr>
      </w:pPr>
      <w:r>
        <w:rPr>
          <w:rFonts w:ascii="黑体" w:eastAsia="黑体" w:hAnsi="黑体" w:cs="黑体" w:hint="eastAsia"/>
        </w:rPr>
        <w:t>1</w:t>
      </w:r>
      <w:r w:rsidR="00152485"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 w:hint="eastAsia"/>
          <w:bCs/>
          <w:color w:val="000000"/>
        </w:rPr>
        <w:t>.“一网三平台”：</w:t>
      </w:r>
      <w:r>
        <w:rPr>
          <w:rFonts w:hint="eastAsia"/>
          <w:bCs/>
          <w:color w:val="000000"/>
        </w:rPr>
        <w:t>“一网”即依托全市150家企业服务站，</w:t>
      </w:r>
      <w:proofErr w:type="gramStart"/>
      <w:r>
        <w:rPr>
          <w:rFonts w:hint="eastAsia"/>
          <w:bCs/>
          <w:color w:val="000000"/>
        </w:rPr>
        <w:t>织密服务</w:t>
      </w:r>
      <w:proofErr w:type="gramEnd"/>
      <w:r>
        <w:rPr>
          <w:rFonts w:hint="eastAsia"/>
          <w:bCs/>
          <w:color w:val="000000"/>
        </w:rPr>
        <w:t>企业“一张网”；“三平</w:t>
      </w:r>
      <w:r>
        <w:rPr>
          <w:rFonts w:hint="eastAsia"/>
          <w:bCs/>
          <w:color w:val="000000"/>
        </w:rPr>
        <w:lastRenderedPageBreak/>
        <w:t>台”即“泉惠企”综合智慧平台、企业供需对接服务平台、“在泉城全办成”便民惠</w:t>
      </w:r>
      <w:proofErr w:type="gramStart"/>
      <w:r>
        <w:rPr>
          <w:rFonts w:hint="eastAsia"/>
          <w:bCs/>
          <w:color w:val="000000"/>
        </w:rPr>
        <w:t>企政策</w:t>
      </w:r>
      <w:proofErr w:type="gramEnd"/>
      <w:r>
        <w:rPr>
          <w:rFonts w:hint="eastAsia"/>
          <w:bCs/>
          <w:color w:val="000000"/>
        </w:rPr>
        <w:t>直播平台。</w:t>
      </w:r>
    </w:p>
    <w:p w:rsidR="004B5A1E" w:rsidRDefault="0034488A">
      <w:pPr>
        <w:adjustRightInd/>
        <w:snapToGrid/>
        <w:ind w:firstLine="720"/>
        <w:rPr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</w:rPr>
        <w:t>1</w:t>
      </w:r>
      <w:r w:rsidR="00152485">
        <w:rPr>
          <w:rFonts w:ascii="黑体" w:eastAsia="黑体" w:hAnsi="黑体" w:cs="黑体" w:hint="eastAsia"/>
          <w:bCs/>
          <w:color w:val="000000"/>
        </w:rPr>
        <w:t>3</w:t>
      </w:r>
      <w:r>
        <w:rPr>
          <w:rFonts w:ascii="黑体" w:eastAsia="黑体" w:hAnsi="黑体" w:cs="黑体" w:hint="eastAsia"/>
          <w:bCs/>
          <w:color w:val="000000"/>
        </w:rPr>
        <w:t>.“6+N”政府引导基金集群：</w:t>
      </w:r>
      <w:r>
        <w:rPr>
          <w:rFonts w:hint="eastAsia"/>
          <w:bCs/>
          <w:color w:val="000000"/>
        </w:rPr>
        <w:t>“6”即天使创投、战略新兴产业、信息技术产业、智能制造产业、生物医药产业、重大项目协同发展等6只母基金，“N”即</w:t>
      </w:r>
      <w:proofErr w:type="gramStart"/>
      <w:r>
        <w:rPr>
          <w:rFonts w:hint="eastAsia"/>
          <w:bCs/>
          <w:color w:val="000000"/>
        </w:rPr>
        <w:t>母基金</w:t>
      </w:r>
      <w:proofErr w:type="gramEnd"/>
      <w:r>
        <w:rPr>
          <w:rFonts w:hint="eastAsia"/>
          <w:bCs/>
          <w:color w:val="000000"/>
        </w:rPr>
        <w:t>下设的子基金、项目</w:t>
      </w:r>
      <w:proofErr w:type="gramStart"/>
      <w:r>
        <w:rPr>
          <w:rFonts w:hint="eastAsia"/>
          <w:bCs/>
          <w:color w:val="000000"/>
        </w:rPr>
        <w:t>子基金</w:t>
      </w:r>
      <w:proofErr w:type="gramEnd"/>
      <w:r>
        <w:rPr>
          <w:rFonts w:hint="eastAsia"/>
          <w:bCs/>
          <w:color w:val="000000"/>
        </w:rPr>
        <w:t>等。</w:t>
      </w:r>
    </w:p>
    <w:p w:rsidR="004B5A1E" w:rsidRDefault="0034488A">
      <w:pPr>
        <w:ind w:firstLine="720"/>
        <w:rPr>
          <w:rFonts w:hAnsi="黑体"/>
        </w:rPr>
      </w:pPr>
      <w:r>
        <w:rPr>
          <w:rFonts w:ascii="黑体" w:eastAsia="黑体" w:hAnsi="黑体" w:hint="eastAsia"/>
        </w:rPr>
        <w:t>14.“十百千万”非</w:t>
      </w:r>
      <w:proofErr w:type="gramStart"/>
      <w:r>
        <w:rPr>
          <w:rFonts w:ascii="黑体" w:eastAsia="黑体" w:hAnsi="黑体" w:hint="eastAsia"/>
        </w:rPr>
        <w:t>遗保护</w:t>
      </w:r>
      <w:proofErr w:type="gramEnd"/>
      <w:r>
        <w:rPr>
          <w:rFonts w:ascii="黑体" w:eastAsia="黑体" w:hAnsi="黑体" w:hint="eastAsia"/>
        </w:rPr>
        <w:t>行动计划：</w:t>
      </w:r>
      <w:r>
        <w:rPr>
          <w:rFonts w:hint="eastAsia"/>
        </w:rPr>
        <w:t>即</w:t>
      </w:r>
      <w:proofErr w:type="gramStart"/>
      <w:r>
        <w:rPr>
          <w:rFonts w:hAnsi="黑体" w:hint="eastAsia"/>
        </w:rPr>
        <w:t>打造十</w:t>
      </w:r>
      <w:proofErr w:type="gramEnd"/>
      <w:r>
        <w:rPr>
          <w:rFonts w:hAnsi="黑体" w:hint="eastAsia"/>
        </w:rPr>
        <w:t>大“泉润非遗”系列品牌活动，培育百名“泉城非遗人”，建设千个“泉城非遗坊”，命名万名“泉城非遗娃”。</w:t>
      </w:r>
    </w:p>
    <w:p w:rsidR="004B5A1E" w:rsidRDefault="0034488A">
      <w:pPr>
        <w:ind w:firstLine="720"/>
      </w:pPr>
      <w:r>
        <w:rPr>
          <w:rFonts w:ascii="黑体" w:eastAsia="黑体" w:hAnsi="黑体" w:cs="黑体" w:hint="eastAsia"/>
        </w:rPr>
        <w:t>15.“三融五跨”：</w:t>
      </w:r>
      <w:r>
        <w:rPr>
          <w:rFonts w:hint="eastAsia"/>
        </w:rPr>
        <w:t>即以技术融合、业务融合、数据融合，实现跨层级、跨地域、跨系统、跨部门、跨业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的协同管理和服务。</w:t>
      </w:r>
    </w:p>
    <w:p w:rsidR="004B5A1E" w:rsidRDefault="0034488A">
      <w:pPr>
        <w:ind w:firstLine="720"/>
      </w:pPr>
      <w:r>
        <w:rPr>
          <w:rFonts w:ascii="黑体" w:eastAsia="黑体" w:hAnsi="黑体" w:cs="黑体" w:hint="eastAsia"/>
        </w:rPr>
        <w:t>16.“4+N”产业布局：</w:t>
      </w:r>
      <w:r>
        <w:rPr>
          <w:rFonts w:hint="eastAsia"/>
        </w:rPr>
        <w:t>即打造中央商务区、中央</w:t>
      </w:r>
      <w:proofErr w:type="gramStart"/>
      <w:r>
        <w:rPr>
          <w:rFonts w:hint="eastAsia"/>
        </w:rPr>
        <w:t>科创区</w:t>
      </w:r>
      <w:proofErr w:type="gramEnd"/>
      <w:r>
        <w:rPr>
          <w:rFonts w:hint="eastAsia"/>
        </w:rPr>
        <w:t>、国际医学中心、智想城</w:t>
      </w:r>
      <w:proofErr w:type="gramStart"/>
      <w:r>
        <w:rPr>
          <w:rFonts w:hint="eastAsia"/>
        </w:rPr>
        <w:t>科创产业</w:t>
      </w:r>
      <w:proofErr w:type="gramEnd"/>
      <w:r>
        <w:rPr>
          <w:rFonts w:hint="eastAsia"/>
        </w:rPr>
        <w:t>园AI</w:t>
      </w:r>
      <w:proofErr w:type="gramStart"/>
      <w:r>
        <w:rPr>
          <w:rFonts w:hint="eastAsia"/>
        </w:rPr>
        <w:t>智园4个</w:t>
      </w:r>
      <w:proofErr w:type="gramEnd"/>
      <w:r>
        <w:rPr>
          <w:rFonts w:hint="eastAsia"/>
        </w:rPr>
        <w:t>“数据要素产业核心区”和N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“数据要素产业集聚区”。</w:t>
      </w:r>
    </w:p>
    <w:p w:rsidR="004B5A1E" w:rsidRDefault="0034488A">
      <w:pPr>
        <w:ind w:firstLine="720"/>
      </w:pPr>
      <w:r>
        <w:rPr>
          <w:rFonts w:ascii="黑体" w:eastAsia="黑体" w:hAnsi="黑体" w:cs="黑体" w:hint="eastAsia"/>
        </w:rPr>
        <w:t>17.“全市一个停车场”：</w:t>
      </w:r>
      <w:r>
        <w:rPr>
          <w:rFonts w:hint="eastAsia"/>
        </w:rPr>
        <w:t>即利用互联网信息化、智能化技术，</w:t>
      </w:r>
      <w:proofErr w:type="gramStart"/>
      <w:r>
        <w:rPr>
          <w:rFonts w:hint="eastAsia"/>
        </w:rPr>
        <w:t>整合全市</w:t>
      </w:r>
      <w:proofErr w:type="gramEnd"/>
      <w:r>
        <w:rPr>
          <w:rFonts w:hint="eastAsia"/>
        </w:rPr>
        <w:t>分散布置的各类机动车停车资源，统一接入一个市级智慧停车综合管理服务平台进行联网管理，形成高效便捷的停车管理系</w:t>
      </w:r>
      <w:r>
        <w:rPr>
          <w:rFonts w:hint="eastAsia"/>
        </w:rPr>
        <w:lastRenderedPageBreak/>
        <w:t>统和服务模式。</w:t>
      </w:r>
    </w:p>
    <w:p w:rsidR="004B5A1E" w:rsidRDefault="0034488A">
      <w:pPr>
        <w:ind w:firstLine="720"/>
      </w:pPr>
      <w:r>
        <w:rPr>
          <w:rFonts w:ascii="黑体" w:eastAsia="黑体" w:hAnsi="黑体" w:hint="eastAsia"/>
        </w:rPr>
        <w:t>18.“两个清零、一个提标”：</w:t>
      </w:r>
      <w:r>
        <w:rPr>
          <w:rFonts w:hint="eastAsia"/>
        </w:rPr>
        <w:t>即城市建成区雨污合流管网清零、黑臭水体清零、城市污水处理厂出水水质标准提升。</w:t>
      </w:r>
    </w:p>
    <w:p w:rsidR="004B5A1E" w:rsidRDefault="0034488A">
      <w:pPr>
        <w:ind w:firstLine="720"/>
      </w:pPr>
      <w:r>
        <w:rPr>
          <w:rFonts w:ascii="黑体" w:eastAsia="黑体" w:hAnsi="黑体" w:hint="eastAsia"/>
        </w:rPr>
        <w:t>19.社区微业：</w:t>
      </w:r>
      <w:r>
        <w:rPr>
          <w:rFonts w:hint="eastAsia"/>
        </w:rPr>
        <w:t>即以社区为依托，以城乡低技能、低收入、高失业、离校未就业高校毕业生等群体为重点，通过拓展“微就业”、支持“微创业”、创新“微组织”、培训“微技能”、优化“微服务”，帮助居民实现“家门口”就业创业。</w:t>
      </w:r>
    </w:p>
    <w:p w:rsidR="004B5A1E" w:rsidRDefault="0034488A">
      <w:pPr>
        <w:ind w:firstLine="720"/>
      </w:pPr>
      <w:r>
        <w:rPr>
          <w:rFonts w:ascii="黑体" w:eastAsia="黑体" w:hAnsi="黑体" w:hint="eastAsia"/>
        </w:rPr>
        <w:t>20.法律援助“五优一免”服务：</w:t>
      </w:r>
      <w:r>
        <w:rPr>
          <w:rFonts w:hint="eastAsia"/>
        </w:rPr>
        <w:t>即对符合法律援助条件的妇女儿童、残疾人等特殊群体，实行“优先受理、优先审查、优先指派、优先办理、优先回访”服务，免于提交经济困难证明。</w:t>
      </w:r>
    </w:p>
    <w:p w:rsidR="004B5A1E" w:rsidRDefault="0034488A">
      <w:pPr>
        <w:ind w:firstLine="720"/>
      </w:pPr>
      <w:r>
        <w:rPr>
          <w:rFonts w:ascii="黑体" w:eastAsia="黑体" w:hAnsi="黑体" w:hint="eastAsia"/>
        </w:rPr>
        <w:t>21.市场监管“一券三卡”创新模式：</w:t>
      </w:r>
      <w:r>
        <w:rPr>
          <w:rFonts w:hint="eastAsia"/>
        </w:rPr>
        <w:t>即依托“济南市场监管微服务”小程序，每月定期为市民发放产品抽检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、监管卫士卡、执法卫士卡、助力服务卡，将市场监管“指挥棒”交到泉城市民手里。</w:t>
      </w:r>
    </w:p>
    <w:sectPr w:rsidR="004B5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1" w:right="2041" w:bottom="2041" w:left="2041" w:header="851" w:footer="992" w:gutter="0"/>
      <w:cols w:space="0"/>
      <w:docGrid w:type="lines" w:linePitch="4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CB" w:rsidRDefault="00A55BCB">
      <w:pPr>
        <w:spacing w:line="240" w:lineRule="auto"/>
        <w:ind w:firstLine="720"/>
      </w:pPr>
      <w:r>
        <w:separator/>
      </w:r>
    </w:p>
  </w:endnote>
  <w:endnote w:type="continuationSeparator" w:id="0">
    <w:p w:rsidR="00A55BCB" w:rsidRDefault="00A55BCB"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1E" w:rsidRDefault="004B5A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1E" w:rsidRDefault="003448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5A1E" w:rsidRDefault="0034488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A77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5A1E" w:rsidRDefault="0034488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A77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1E" w:rsidRDefault="004B5A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CB" w:rsidRDefault="00A55BCB">
      <w:pPr>
        <w:spacing w:line="240" w:lineRule="auto"/>
        <w:ind w:firstLine="720"/>
      </w:pPr>
      <w:r>
        <w:separator/>
      </w:r>
    </w:p>
  </w:footnote>
  <w:footnote w:type="continuationSeparator" w:id="0">
    <w:p w:rsidR="00A55BCB" w:rsidRDefault="00A55BCB">
      <w:pPr>
        <w:spacing w:line="240" w:lineRule="auto"/>
        <w:ind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1E" w:rsidRDefault="004B5A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1E" w:rsidRDefault="004B5A1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1E" w:rsidRDefault="004B5A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16F52"/>
    <w:rsid w:val="00003E86"/>
    <w:rsid w:val="00005B24"/>
    <w:rsid w:val="00016DDC"/>
    <w:rsid w:val="00037520"/>
    <w:rsid w:val="00052EBC"/>
    <w:rsid w:val="00053DF8"/>
    <w:rsid w:val="00055F14"/>
    <w:rsid w:val="0007691D"/>
    <w:rsid w:val="000774EC"/>
    <w:rsid w:val="000801E4"/>
    <w:rsid w:val="000976C4"/>
    <w:rsid w:val="000C1060"/>
    <w:rsid w:val="000C2F57"/>
    <w:rsid w:val="000C4D48"/>
    <w:rsid w:val="000E0903"/>
    <w:rsid w:val="000E72F9"/>
    <w:rsid w:val="000E753C"/>
    <w:rsid w:val="00106BD9"/>
    <w:rsid w:val="001175AA"/>
    <w:rsid w:val="00121368"/>
    <w:rsid w:val="0013481C"/>
    <w:rsid w:val="001506D8"/>
    <w:rsid w:val="00152485"/>
    <w:rsid w:val="00170146"/>
    <w:rsid w:val="001715B6"/>
    <w:rsid w:val="001C12B1"/>
    <w:rsid w:val="001E0501"/>
    <w:rsid w:val="001E35F8"/>
    <w:rsid w:val="001F4780"/>
    <w:rsid w:val="0020185C"/>
    <w:rsid w:val="002118BC"/>
    <w:rsid w:val="00214340"/>
    <w:rsid w:val="00234CA1"/>
    <w:rsid w:val="00261521"/>
    <w:rsid w:val="00263445"/>
    <w:rsid w:val="00276772"/>
    <w:rsid w:val="002C4B5F"/>
    <w:rsid w:val="002D1B20"/>
    <w:rsid w:val="002D7923"/>
    <w:rsid w:val="0034488A"/>
    <w:rsid w:val="00346C01"/>
    <w:rsid w:val="00354F20"/>
    <w:rsid w:val="003A04C7"/>
    <w:rsid w:val="003A778C"/>
    <w:rsid w:val="00400635"/>
    <w:rsid w:val="00411E50"/>
    <w:rsid w:val="00430905"/>
    <w:rsid w:val="004337ED"/>
    <w:rsid w:val="00483942"/>
    <w:rsid w:val="00497F1D"/>
    <w:rsid w:val="004B5A1E"/>
    <w:rsid w:val="004E7789"/>
    <w:rsid w:val="00522EA9"/>
    <w:rsid w:val="00533251"/>
    <w:rsid w:val="00550FD1"/>
    <w:rsid w:val="00565B66"/>
    <w:rsid w:val="00573EF0"/>
    <w:rsid w:val="00583BFC"/>
    <w:rsid w:val="005875DB"/>
    <w:rsid w:val="005D6A28"/>
    <w:rsid w:val="005D6C5C"/>
    <w:rsid w:val="005D79A0"/>
    <w:rsid w:val="005E2D91"/>
    <w:rsid w:val="0060164E"/>
    <w:rsid w:val="0060708E"/>
    <w:rsid w:val="00624394"/>
    <w:rsid w:val="006328B1"/>
    <w:rsid w:val="006D5BA0"/>
    <w:rsid w:val="006D7484"/>
    <w:rsid w:val="006F2F8F"/>
    <w:rsid w:val="007244EE"/>
    <w:rsid w:val="007659D2"/>
    <w:rsid w:val="007A25D3"/>
    <w:rsid w:val="007A4DCA"/>
    <w:rsid w:val="007C2576"/>
    <w:rsid w:val="007E44AC"/>
    <w:rsid w:val="007E4CCB"/>
    <w:rsid w:val="00815454"/>
    <w:rsid w:val="00817B35"/>
    <w:rsid w:val="00827B26"/>
    <w:rsid w:val="00832F60"/>
    <w:rsid w:val="0083473C"/>
    <w:rsid w:val="00846033"/>
    <w:rsid w:val="00856E39"/>
    <w:rsid w:val="0088093D"/>
    <w:rsid w:val="008A4CEB"/>
    <w:rsid w:val="008C4BD4"/>
    <w:rsid w:val="008D3992"/>
    <w:rsid w:val="0090700E"/>
    <w:rsid w:val="0094408E"/>
    <w:rsid w:val="009506F4"/>
    <w:rsid w:val="00956E7E"/>
    <w:rsid w:val="00956F6A"/>
    <w:rsid w:val="00962D15"/>
    <w:rsid w:val="00964E1C"/>
    <w:rsid w:val="00974E68"/>
    <w:rsid w:val="009760A5"/>
    <w:rsid w:val="00987D50"/>
    <w:rsid w:val="009908B2"/>
    <w:rsid w:val="00991702"/>
    <w:rsid w:val="009A4E53"/>
    <w:rsid w:val="009A54FF"/>
    <w:rsid w:val="009C4839"/>
    <w:rsid w:val="009F55B1"/>
    <w:rsid w:val="009F7353"/>
    <w:rsid w:val="009F7A5D"/>
    <w:rsid w:val="00A15001"/>
    <w:rsid w:val="00A152D7"/>
    <w:rsid w:val="00A2058A"/>
    <w:rsid w:val="00A50B6F"/>
    <w:rsid w:val="00A55BCB"/>
    <w:rsid w:val="00A64040"/>
    <w:rsid w:val="00A71EA7"/>
    <w:rsid w:val="00A75AB5"/>
    <w:rsid w:val="00A96581"/>
    <w:rsid w:val="00AA2E36"/>
    <w:rsid w:val="00AC0C74"/>
    <w:rsid w:val="00AC754C"/>
    <w:rsid w:val="00AF015A"/>
    <w:rsid w:val="00B05F8E"/>
    <w:rsid w:val="00B071C5"/>
    <w:rsid w:val="00B24057"/>
    <w:rsid w:val="00B717A7"/>
    <w:rsid w:val="00B72A06"/>
    <w:rsid w:val="00B77916"/>
    <w:rsid w:val="00B94346"/>
    <w:rsid w:val="00B979EF"/>
    <w:rsid w:val="00BE2B7D"/>
    <w:rsid w:val="00BE53EB"/>
    <w:rsid w:val="00BF7B11"/>
    <w:rsid w:val="00C33E60"/>
    <w:rsid w:val="00C56888"/>
    <w:rsid w:val="00C83691"/>
    <w:rsid w:val="00C93ECE"/>
    <w:rsid w:val="00CC55EF"/>
    <w:rsid w:val="00CF134C"/>
    <w:rsid w:val="00D241BE"/>
    <w:rsid w:val="00D606C6"/>
    <w:rsid w:val="00D740FA"/>
    <w:rsid w:val="00D753F1"/>
    <w:rsid w:val="00D9144F"/>
    <w:rsid w:val="00D94608"/>
    <w:rsid w:val="00DA26A4"/>
    <w:rsid w:val="00DB4D7D"/>
    <w:rsid w:val="00DB57DA"/>
    <w:rsid w:val="00DD1594"/>
    <w:rsid w:val="00E023D3"/>
    <w:rsid w:val="00E13FFE"/>
    <w:rsid w:val="00E2775E"/>
    <w:rsid w:val="00E42354"/>
    <w:rsid w:val="00E50444"/>
    <w:rsid w:val="00E51F0F"/>
    <w:rsid w:val="00E53D78"/>
    <w:rsid w:val="00E7117E"/>
    <w:rsid w:val="00E7135E"/>
    <w:rsid w:val="00E77227"/>
    <w:rsid w:val="00E95E56"/>
    <w:rsid w:val="00EA22B3"/>
    <w:rsid w:val="00EA6B9A"/>
    <w:rsid w:val="00EB6DCC"/>
    <w:rsid w:val="00EF04E4"/>
    <w:rsid w:val="00F07DD0"/>
    <w:rsid w:val="00F25DF7"/>
    <w:rsid w:val="00F701C7"/>
    <w:rsid w:val="00F71ECC"/>
    <w:rsid w:val="00F74391"/>
    <w:rsid w:val="00F81BF5"/>
    <w:rsid w:val="00FA11F7"/>
    <w:rsid w:val="00FC0487"/>
    <w:rsid w:val="00FC23D0"/>
    <w:rsid w:val="00FC4F38"/>
    <w:rsid w:val="00FD797A"/>
    <w:rsid w:val="00FE4024"/>
    <w:rsid w:val="02293EC4"/>
    <w:rsid w:val="03CD2EEB"/>
    <w:rsid w:val="0523432B"/>
    <w:rsid w:val="053F58E5"/>
    <w:rsid w:val="076D6CD9"/>
    <w:rsid w:val="08A2174C"/>
    <w:rsid w:val="0AB2395F"/>
    <w:rsid w:val="0BF12409"/>
    <w:rsid w:val="0DFF17E6"/>
    <w:rsid w:val="0E9D5C3B"/>
    <w:rsid w:val="0EFC474F"/>
    <w:rsid w:val="11C46B5C"/>
    <w:rsid w:val="12323190"/>
    <w:rsid w:val="162C08A7"/>
    <w:rsid w:val="17513217"/>
    <w:rsid w:val="17CF6B39"/>
    <w:rsid w:val="1914448E"/>
    <w:rsid w:val="193E29F0"/>
    <w:rsid w:val="195552EA"/>
    <w:rsid w:val="214758AB"/>
    <w:rsid w:val="24B47986"/>
    <w:rsid w:val="24EC7B7F"/>
    <w:rsid w:val="2ABE3D6C"/>
    <w:rsid w:val="2B6E158B"/>
    <w:rsid w:val="2C236F85"/>
    <w:rsid w:val="2C2D2C15"/>
    <w:rsid w:val="2D482763"/>
    <w:rsid w:val="31124CA6"/>
    <w:rsid w:val="31197F4E"/>
    <w:rsid w:val="319D2A3B"/>
    <w:rsid w:val="33E9171C"/>
    <w:rsid w:val="354573BF"/>
    <w:rsid w:val="35D35FCB"/>
    <w:rsid w:val="36183BC4"/>
    <w:rsid w:val="394903A1"/>
    <w:rsid w:val="3AC220FF"/>
    <w:rsid w:val="3AEA3397"/>
    <w:rsid w:val="3BE24E26"/>
    <w:rsid w:val="3C05107F"/>
    <w:rsid w:val="3C4C37C6"/>
    <w:rsid w:val="3E9256AC"/>
    <w:rsid w:val="3F4A58A7"/>
    <w:rsid w:val="40B34A2A"/>
    <w:rsid w:val="40EC1FD5"/>
    <w:rsid w:val="46472E68"/>
    <w:rsid w:val="48EC5A78"/>
    <w:rsid w:val="4B3E3B9E"/>
    <w:rsid w:val="4CD73686"/>
    <w:rsid w:val="4EC5629D"/>
    <w:rsid w:val="4F847903"/>
    <w:rsid w:val="4FE614EB"/>
    <w:rsid w:val="53426123"/>
    <w:rsid w:val="53816F52"/>
    <w:rsid w:val="56002C87"/>
    <w:rsid w:val="56D940C0"/>
    <w:rsid w:val="57365A53"/>
    <w:rsid w:val="57F64A80"/>
    <w:rsid w:val="57FF287C"/>
    <w:rsid w:val="59A8767F"/>
    <w:rsid w:val="5C8A0651"/>
    <w:rsid w:val="5ECE365E"/>
    <w:rsid w:val="62287742"/>
    <w:rsid w:val="64DB4F3F"/>
    <w:rsid w:val="66530E34"/>
    <w:rsid w:val="66892733"/>
    <w:rsid w:val="672961A8"/>
    <w:rsid w:val="69831701"/>
    <w:rsid w:val="6A7554EE"/>
    <w:rsid w:val="6BC42556"/>
    <w:rsid w:val="6BC85BE9"/>
    <w:rsid w:val="6C5928FB"/>
    <w:rsid w:val="6EA10080"/>
    <w:rsid w:val="70F85AE3"/>
    <w:rsid w:val="7238577F"/>
    <w:rsid w:val="75506BD3"/>
    <w:rsid w:val="76D33CC8"/>
    <w:rsid w:val="7C053764"/>
    <w:rsid w:val="7C4132B5"/>
    <w:rsid w:val="7EE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600" w:lineRule="exact"/>
      <w:ind w:firstLineChars="200" w:firstLine="880"/>
      <w:jc w:val="both"/>
    </w:pPr>
    <w:rPr>
      <w:rFonts w:ascii="仿宋_GB2312" w:eastAsia="仿宋_GB2312" w:hAnsi="仿宋_GB2312" w:cs="仿宋_GB2312"/>
      <w:kern w:val="2"/>
      <w:sz w:val="36"/>
      <w:szCs w:val="36"/>
    </w:rPr>
  </w:style>
  <w:style w:type="paragraph" w:styleId="1">
    <w:name w:val="heading 1"/>
    <w:basedOn w:val="a"/>
    <w:next w:val="a"/>
    <w:qFormat/>
    <w:pPr>
      <w:outlineLvl w:val="0"/>
    </w:pPr>
    <w:rPr>
      <w:rFonts w:ascii="Times New Roman" w:eastAsia="黑体" w:hAnsi="Times New Roman" w:cs="Times New Roman"/>
      <w:bCs/>
      <w:kern w:val="44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outlineLvl w:val="1"/>
    </w:pPr>
    <w:rPr>
      <w:rFonts w:ascii="Times New Roman" w:eastAsia="楷体_GB2312" w:hAnsi="Times New Roman"/>
      <w:b/>
    </w:rPr>
  </w:style>
  <w:style w:type="paragraph" w:styleId="3">
    <w:name w:val="heading 3"/>
    <w:basedOn w:val="a"/>
    <w:next w:val="a"/>
    <w:link w:val="3Char"/>
    <w:semiHidden/>
    <w:unhideWhenUsed/>
    <w:qFormat/>
    <w:pPr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ind w:firstLineChars="0" w:firstLine="0"/>
      <w:jc w:val="left"/>
    </w:pPr>
    <w:rPr>
      <w:sz w:val="18"/>
    </w:rPr>
  </w:style>
  <w:style w:type="paragraph" w:styleId="a5">
    <w:name w:val="header"/>
    <w:basedOn w:val="a"/>
    <w:next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ind w:firstLineChars="0" w:firstLine="0"/>
    </w:pPr>
    <w:rPr>
      <w:sz w:val="18"/>
    </w:rPr>
  </w:style>
  <w:style w:type="paragraph" w:styleId="10">
    <w:name w:val="toc 1"/>
    <w:basedOn w:val="a"/>
    <w:next w:val="a"/>
    <w:qFormat/>
    <w:pPr>
      <w:ind w:firstLineChars="0" w:firstLine="0"/>
    </w:pPr>
  </w:style>
  <w:style w:type="character" w:styleId="a6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Times New Roman" w:eastAsia="楷体_GB2312" w:hAnsi="Times New Roman"/>
      <w:b/>
      <w:sz w:val="36"/>
    </w:rPr>
  </w:style>
  <w:style w:type="character" w:customStyle="1" w:styleId="3Char">
    <w:name w:val="标题 3 Char"/>
    <w:link w:val="3"/>
    <w:qFormat/>
    <w:rPr>
      <w:rFonts w:ascii="Times New Roman" w:eastAsia="仿宋_GB2312" w:hAnsi="Times New Roman"/>
      <w:b/>
      <w:sz w:val="36"/>
    </w:rPr>
  </w:style>
  <w:style w:type="character" w:customStyle="1" w:styleId="a9">
    <w:name w:val="下划线（红）"/>
    <w:basedOn w:val="a0"/>
    <w:qFormat/>
    <w:rPr>
      <w:rFonts w:ascii="Calibri" w:eastAsia="仿宋_GB2312" w:hAnsi="Calibri" w:hint="eastAsia"/>
      <w:sz w:val="36"/>
      <w:u w:val="thick" w:color="FF0000"/>
    </w:rPr>
  </w:style>
  <w:style w:type="character" w:customStyle="1" w:styleId="textczf0o">
    <w:name w:val="text_czf0o"/>
    <w:basedOn w:val="a0"/>
  </w:style>
  <w:style w:type="character" w:customStyle="1" w:styleId="Char">
    <w:name w:val="批注框文本 Char"/>
    <w:basedOn w:val="a0"/>
    <w:link w:val="a3"/>
    <w:semiHidden/>
    <w:rPr>
      <w:rFonts w:ascii="仿宋_GB2312" w:eastAsia="仿宋_GB2312" w:hAnsi="仿宋_GB2312" w:cs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600" w:lineRule="exact"/>
      <w:ind w:firstLineChars="200" w:firstLine="880"/>
      <w:jc w:val="both"/>
    </w:pPr>
    <w:rPr>
      <w:rFonts w:ascii="仿宋_GB2312" w:eastAsia="仿宋_GB2312" w:hAnsi="仿宋_GB2312" w:cs="仿宋_GB2312"/>
      <w:kern w:val="2"/>
      <w:sz w:val="36"/>
      <w:szCs w:val="36"/>
    </w:rPr>
  </w:style>
  <w:style w:type="paragraph" w:styleId="1">
    <w:name w:val="heading 1"/>
    <w:basedOn w:val="a"/>
    <w:next w:val="a"/>
    <w:qFormat/>
    <w:pPr>
      <w:outlineLvl w:val="0"/>
    </w:pPr>
    <w:rPr>
      <w:rFonts w:ascii="Times New Roman" w:eastAsia="黑体" w:hAnsi="Times New Roman" w:cs="Times New Roman"/>
      <w:bCs/>
      <w:kern w:val="44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outlineLvl w:val="1"/>
    </w:pPr>
    <w:rPr>
      <w:rFonts w:ascii="Times New Roman" w:eastAsia="楷体_GB2312" w:hAnsi="Times New Roman"/>
      <w:b/>
    </w:rPr>
  </w:style>
  <w:style w:type="paragraph" w:styleId="3">
    <w:name w:val="heading 3"/>
    <w:basedOn w:val="a"/>
    <w:next w:val="a"/>
    <w:link w:val="3Char"/>
    <w:semiHidden/>
    <w:unhideWhenUsed/>
    <w:qFormat/>
    <w:pPr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ind w:firstLineChars="0" w:firstLine="0"/>
      <w:jc w:val="left"/>
    </w:pPr>
    <w:rPr>
      <w:sz w:val="18"/>
    </w:rPr>
  </w:style>
  <w:style w:type="paragraph" w:styleId="a5">
    <w:name w:val="header"/>
    <w:basedOn w:val="a"/>
    <w:next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ind w:firstLineChars="0" w:firstLine="0"/>
    </w:pPr>
    <w:rPr>
      <w:sz w:val="18"/>
    </w:rPr>
  </w:style>
  <w:style w:type="paragraph" w:styleId="10">
    <w:name w:val="toc 1"/>
    <w:basedOn w:val="a"/>
    <w:next w:val="a"/>
    <w:qFormat/>
    <w:pPr>
      <w:ind w:firstLineChars="0" w:firstLine="0"/>
    </w:pPr>
  </w:style>
  <w:style w:type="character" w:styleId="a6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Times New Roman" w:eastAsia="楷体_GB2312" w:hAnsi="Times New Roman"/>
      <w:b/>
      <w:sz w:val="36"/>
    </w:rPr>
  </w:style>
  <w:style w:type="character" w:customStyle="1" w:styleId="3Char">
    <w:name w:val="标题 3 Char"/>
    <w:link w:val="3"/>
    <w:qFormat/>
    <w:rPr>
      <w:rFonts w:ascii="Times New Roman" w:eastAsia="仿宋_GB2312" w:hAnsi="Times New Roman"/>
      <w:b/>
      <w:sz w:val="36"/>
    </w:rPr>
  </w:style>
  <w:style w:type="character" w:customStyle="1" w:styleId="a9">
    <w:name w:val="下划线（红）"/>
    <w:basedOn w:val="a0"/>
    <w:qFormat/>
    <w:rPr>
      <w:rFonts w:ascii="Calibri" w:eastAsia="仿宋_GB2312" w:hAnsi="Calibri" w:hint="eastAsia"/>
      <w:sz w:val="36"/>
      <w:u w:val="thick" w:color="FF0000"/>
    </w:rPr>
  </w:style>
  <w:style w:type="character" w:customStyle="1" w:styleId="textczf0o">
    <w:name w:val="text_czf0o"/>
    <w:basedOn w:val="a0"/>
  </w:style>
  <w:style w:type="character" w:customStyle="1" w:styleId="Char">
    <w:name w:val="批注框文本 Char"/>
    <w:basedOn w:val="a0"/>
    <w:link w:val="a3"/>
    <w:semiHidden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6FE5DE-5EEF-4AF6-B7F7-C5CD1614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298</Words>
  <Characters>1700</Characters>
  <Application>Microsoft Office Word</Application>
  <DocSecurity>0</DocSecurity>
  <Lines>14</Lines>
  <Paragraphs>3</Paragraphs>
  <ScaleCrop>false</ScaleCrop>
  <Company>研究室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lzq</dc:creator>
  <cp:lastModifiedBy>ZYS</cp:lastModifiedBy>
  <cp:revision>4</cp:revision>
  <cp:lastPrinted>2024-01-05T07:50:00Z</cp:lastPrinted>
  <dcterms:created xsi:type="dcterms:W3CDTF">2025-01-09T11:35:00Z</dcterms:created>
  <dcterms:modified xsi:type="dcterms:W3CDTF">2025-01-16T01:24:00Z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C020FB0728CC4132ABE3546A66D16FD0</vt:lpwstr>
  </property>
  <property fmtid="{D5CDD505-2E9C-101B-9397-08002B2CF9AE}" pid="4" name="KSOTemplateDocerSaveRecord">
    <vt:lpwstr>eyJoZGlkIjoiOGYzNmMwOGMzNGM5ODcwZjczNTRiZDE4ZTAyZjM3N2MiLCJ1c2VySWQiOiI0NjAwMjA4NzcifQ==</vt:lpwstr>
  </property>
</Properties>
</file>