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E5A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济南市人民政府2025年政府信息公开工作</w:t>
      </w:r>
    </w:p>
    <w:p w14:paraId="568390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年度报告</w:t>
      </w:r>
    </w:p>
    <w:p w14:paraId="039EAE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6A16E3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度报告根据《中华人民共和国政府信息公开条例》和《国务院办公厅政府信息与政务公开办公室关于印发〈中华人民共和国政府信息公开工作年度报告格式〉的通知》（国办公开办函〔2021〕30号）相关要求编制，内容包括总体情况、主动公开政府信息情况、收到和处理政府信息公开申请情况、政府信息公开行政复议和行政诉讼情况、存在的主要问题及改进情况、其他需要报告的事项等六个部分。本年度报告中所列数据统计期限从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年1月1日到202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12月31日。本年度报告电子版可从济南市人民政府门户网站“中国·济南”（www.jinan.gov.cn）查阅或下载。公众如需进一步咨询了解其他相关信息，请与济南市人民政府办公厅联系（地址：济南市历下区龙鼎大道1号，电话：0531-51707772）。</w:t>
      </w:r>
    </w:p>
    <w:p w14:paraId="40E13F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一、总体情况</w:t>
      </w:r>
    </w:p>
    <w:p w14:paraId="46F896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2025年，济南市人民政府坚持以习近平新时代中国特色社会主义思想为指导，深入学习贯彻党的二十大和二十届历次全会精神，全面贯彻落实习近平总书记视察山东重要讲话和重要指示批示精神，在市委的坚强领导下，准确把握新时代政务公开职责定位，</w:t>
      </w:r>
      <w:r>
        <w:rPr>
          <w:rFonts w:hint="eastAsia" w:ascii="仿宋_GB2312" w:hAnsi="仿宋_GB2312" w:eastAsia="仿宋_GB2312" w:cs="仿宋_GB2312"/>
          <w:sz w:val="32"/>
          <w:szCs w:val="32"/>
          <w:lang w:val="en-US" w:eastAsia="zh-CN"/>
        </w:rPr>
        <w:t>紧紧围绕</w:t>
      </w:r>
      <w:r>
        <w:rPr>
          <w:rFonts w:hint="eastAsia" w:ascii="仿宋_GB2312" w:hAnsi="仿宋_GB2312" w:eastAsia="仿宋_GB2312" w:cs="仿宋_GB2312"/>
          <w:sz w:val="32"/>
          <w:szCs w:val="32"/>
        </w:rPr>
        <w:t>“项目提升年”任务</w:t>
      </w:r>
      <w:r>
        <w:rPr>
          <w:rFonts w:hint="eastAsia" w:ascii="仿宋_GB2312" w:hAnsi="仿宋_GB2312" w:eastAsia="仿宋_GB2312" w:cs="仿宋_GB2312"/>
          <w:sz w:val="32"/>
          <w:szCs w:val="32"/>
          <w:lang w:val="en-US" w:eastAsia="zh-CN"/>
        </w:rPr>
        <w:t>要求</w:t>
      </w:r>
      <w:r>
        <w:rPr>
          <w:rFonts w:hint="eastAsia" w:ascii="仿宋_GB2312" w:hAnsi="仿宋_GB2312" w:eastAsia="仿宋_GB2312" w:cs="仿宋_GB2312"/>
          <w:sz w:val="32"/>
          <w:szCs w:val="32"/>
        </w:rPr>
        <w:t>，健全制度规范，优化方式渠道，提高公开质效，圆满完成</w:t>
      </w:r>
      <w:r>
        <w:rPr>
          <w:rFonts w:hint="eastAsia" w:ascii="仿宋_GB2312" w:hAnsi="仿宋_GB2312" w:eastAsia="仿宋_GB2312" w:cs="仿宋_GB2312"/>
          <w:sz w:val="32"/>
          <w:szCs w:val="32"/>
          <w:lang w:val="en-US" w:eastAsia="zh-CN"/>
        </w:rPr>
        <w:t>年度</w:t>
      </w:r>
      <w:r>
        <w:rPr>
          <w:rFonts w:hint="eastAsia" w:ascii="仿宋_GB2312" w:hAnsi="仿宋_GB2312" w:eastAsia="仿宋_GB2312" w:cs="仿宋_GB2312"/>
          <w:sz w:val="32"/>
          <w:szCs w:val="32"/>
        </w:rPr>
        <w:t>各项任务。</w:t>
      </w:r>
    </w:p>
    <w:p w14:paraId="0E36F9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rPr>
        <w:t>（一）主动公开。</w:t>
      </w:r>
      <w:r>
        <w:rPr>
          <w:rFonts w:hint="eastAsia" w:ascii="仿宋_GB2312" w:hAnsi="仿宋_GB2312" w:eastAsia="仿宋_GB2312" w:cs="仿宋_GB2312"/>
          <w:sz w:val="32"/>
          <w:szCs w:val="32"/>
        </w:rPr>
        <w:t>聚焦</w:t>
      </w:r>
      <w:r>
        <w:rPr>
          <w:rFonts w:hint="eastAsia" w:ascii="仿宋_GB2312" w:hAnsi="仿宋_GB2312" w:eastAsia="仿宋_GB2312" w:cs="仿宋_GB2312"/>
          <w:sz w:val="32"/>
          <w:szCs w:val="32"/>
          <w:lang w:val="en-US" w:eastAsia="zh-CN"/>
        </w:rPr>
        <w:t>便民</w:t>
      </w:r>
      <w:r>
        <w:rPr>
          <w:rFonts w:hint="eastAsia" w:ascii="仿宋_GB2312" w:hAnsi="仿宋_GB2312" w:eastAsia="仿宋_GB2312" w:cs="仿宋_GB2312"/>
          <w:sz w:val="32"/>
          <w:szCs w:val="32"/>
        </w:rPr>
        <w:t>惠企、营商环境、民生保障等重点领域，主动公开政策</w:t>
      </w:r>
      <w:r>
        <w:rPr>
          <w:rFonts w:hint="eastAsia" w:ascii="仿宋_GB2312" w:hAnsi="仿宋_GB2312" w:eastAsia="仿宋_GB2312" w:cs="仿宋_GB2312"/>
          <w:sz w:val="32"/>
          <w:szCs w:val="32"/>
          <w:lang w:val="en-US" w:eastAsia="zh-CN"/>
        </w:rPr>
        <w:t>文件</w:t>
      </w:r>
      <w:r>
        <w:rPr>
          <w:rFonts w:hint="eastAsia" w:ascii="仿宋_GB2312" w:hAnsi="仿宋_GB2312" w:eastAsia="仿宋_GB2312" w:cs="仿宋_GB2312"/>
          <w:sz w:val="32"/>
          <w:szCs w:val="32"/>
        </w:rPr>
        <w:t>、办事服务等信息。综合运用图文、视频、</w:t>
      </w:r>
      <w:r>
        <w:rPr>
          <w:rFonts w:hint="eastAsia" w:ascii="仿宋_GB2312" w:hAnsi="仿宋_GB2312" w:eastAsia="仿宋_GB2312" w:cs="仿宋_GB2312"/>
          <w:sz w:val="32"/>
          <w:szCs w:val="32"/>
          <w:lang w:val="en-US" w:eastAsia="zh-CN"/>
        </w:rPr>
        <w:t>H5、动漫</w:t>
      </w:r>
      <w:r>
        <w:rPr>
          <w:rFonts w:hint="eastAsia" w:ascii="仿宋_GB2312" w:hAnsi="仿宋_GB2312" w:eastAsia="仿宋_GB2312" w:cs="仿宋_GB2312"/>
          <w:sz w:val="32"/>
          <w:szCs w:val="32"/>
        </w:rPr>
        <w:t>等形式，将“政策语言”转化为</w:t>
      </w:r>
      <w:r>
        <w:rPr>
          <w:rFonts w:hint="default" w:ascii="仿宋_GB2312" w:hAnsi="仿宋_GB2312" w:eastAsia="仿宋_GB2312" w:cs="仿宋_GB2312"/>
          <w:sz w:val="32"/>
          <w:szCs w:val="32"/>
        </w:rPr>
        <w:t>有温度的“民生故事”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全年发布政策解读信息</w:t>
      </w:r>
      <w:r>
        <w:rPr>
          <w:rFonts w:hint="eastAsia" w:ascii="仿宋_GB2312" w:hAnsi="仿宋_GB2312" w:eastAsia="仿宋_GB2312" w:cs="仿宋_GB2312"/>
          <w:sz w:val="32"/>
          <w:szCs w:val="32"/>
          <w:lang w:val="en-US" w:eastAsia="zh-CN"/>
        </w:rPr>
        <w:t>598</w:t>
      </w:r>
      <w:r>
        <w:rPr>
          <w:rFonts w:hint="eastAsia" w:ascii="仿宋_GB2312" w:hAnsi="仿宋_GB2312" w:eastAsia="仿宋_GB2312" w:cs="仿宋_GB2312"/>
          <w:sz w:val="32"/>
          <w:szCs w:val="32"/>
        </w:rPr>
        <w:t>条，政策知晓度和</w:t>
      </w:r>
      <w:r>
        <w:rPr>
          <w:rFonts w:hint="eastAsia" w:ascii="仿宋_GB2312" w:hAnsi="仿宋_GB2312" w:eastAsia="仿宋_GB2312" w:cs="仿宋_GB2312"/>
          <w:sz w:val="32"/>
          <w:szCs w:val="32"/>
          <w:lang w:val="en-US" w:eastAsia="zh-CN"/>
        </w:rPr>
        <w:t>覆盖面</w:t>
      </w:r>
      <w:r>
        <w:rPr>
          <w:rFonts w:hint="eastAsia" w:ascii="仿宋_GB2312" w:hAnsi="仿宋_GB2312" w:eastAsia="仿宋_GB2312" w:cs="仿宋_GB2312"/>
          <w:sz w:val="32"/>
          <w:szCs w:val="32"/>
        </w:rPr>
        <w:t>显著提高。2025年通过市</w:t>
      </w:r>
      <w:r>
        <w:rPr>
          <w:rFonts w:hint="eastAsia" w:ascii="仿宋_GB2312" w:hAnsi="仿宋_GB2312" w:eastAsia="仿宋_GB2312" w:cs="仿宋_GB2312"/>
          <w:sz w:val="32"/>
          <w:szCs w:val="32"/>
          <w:highlight w:val="none"/>
        </w:rPr>
        <w:t>政府网站发布信息9428条，回应公众关注热点或重大舆情151次，办结网民留言24344条，开展意见征集16期。通过“济南政务微信号”“微博济南”“济南政务头条号”市级政务新媒体账号，全年发布信息6331条，累计阅读量3748万，总粉丝数192万。</w:t>
      </w:r>
    </w:p>
    <w:p w14:paraId="72C2D687">
      <w:pPr>
        <w:pStyle w:val="2"/>
        <w:ind w:left="0" w:leftChars="0" w:firstLine="0" w:firstLineChars="0"/>
        <w:jc w:val="center"/>
        <w:rPr>
          <w:rFonts w:hint="eastAsia"/>
        </w:rPr>
      </w:pPr>
      <w:r>
        <w:rPr>
          <w:rFonts w:hint="eastAsia" w:eastAsia="仿宋_GB2312"/>
          <w:lang w:eastAsia="zh-CN"/>
        </w:rPr>
        <w:drawing>
          <wp:inline distT="0" distB="0" distL="114300" distR="114300">
            <wp:extent cx="5185410" cy="2690495"/>
            <wp:effectExtent l="0" t="0" r="11430" b="0"/>
            <wp:docPr id="9" name="图片 9" descr="政策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政策解读"/>
                    <pic:cNvPicPr>
                      <a:picLocks noChangeAspect="1"/>
                    </pic:cNvPicPr>
                  </pic:nvPicPr>
                  <pic:blipFill>
                    <a:blip r:embed="rId5"/>
                    <a:stretch>
                      <a:fillRect/>
                    </a:stretch>
                  </pic:blipFill>
                  <pic:spPr>
                    <a:xfrm>
                      <a:off x="0" y="0"/>
                      <a:ext cx="5185410" cy="2690495"/>
                    </a:xfrm>
                    <a:prstGeom prst="rect">
                      <a:avLst/>
                    </a:prstGeom>
                  </pic:spPr>
                </pic:pic>
              </a:graphicData>
            </a:graphic>
          </wp:inline>
        </w:drawing>
      </w:r>
    </w:p>
    <w:p w14:paraId="6F7AD1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（二）依申请公开。</w:t>
      </w:r>
      <w:r>
        <w:rPr>
          <w:rFonts w:hint="eastAsia" w:eastAsia="仿宋_GB2312" w:cs="仿宋_GB2312"/>
          <w:sz w:val="32"/>
          <w:szCs w:val="32"/>
        </w:rPr>
        <w:t>健全完善全市依申请公开办理平台，省</w:t>
      </w:r>
      <w:r>
        <w:rPr>
          <w:rFonts w:hint="eastAsia" w:eastAsia="仿宋_GB2312" w:cs="仿宋_GB2312"/>
          <w:sz w:val="32"/>
          <w:szCs w:val="32"/>
          <w:lang w:eastAsia="zh-CN"/>
        </w:rPr>
        <w:t>、</w:t>
      </w:r>
      <w:r>
        <w:rPr>
          <w:rFonts w:hint="eastAsia" w:eastAsia="仿宋_GB2312" w:cs="仿宋_GB2312"/>
          <w:sz w:val="32"/>
          <w:szCs w:val="32"/>
        </w:rPr>
        <w:t>市平台</w:t>
      </w:r>
      <w:r>
        <w:rPr>
          <w:rFonts w:hint="eastAsia" w:eastAsia="仿宋_GB2312" w:cs="仿宋_GB2312"/>
          <w:sz w:val="32"/>
          <w:szCs w:val="32"/>
          <w:lang w:val="en-US" w:eastAsia="zh-CN"/>
        </w:rPr>
        <w:t>实现</w:t>
      </w:r>
      <w:r>
        <w:rPr>
          <w:rFonts w:hint="eastAsia" w:eastAsia="仿宋_GB2312" w:cs="仿宋_GB2312"/>
          <w:sz w:val="32"/>
          <w:szCs w:val="32"/>
        </w:rPr>
        <w:t>互联互通与数据共享，依申请公开办理质效全面提升</w:t>
      </w:r>
      <w:r>
        <w:rPr>
          <w:rFonts w:hint="eastAsia" w:eastAsia="仿宋_GB2312" w:cs="仿宋_GB2312"/>
          <w:sz w:val="32"/>
          <w:szCs w:val="32"/>
          <w:lang w:eastAsia="zh-CN"/>
        </w:rPr>
        <w:t>。</w:t>
      </w:r>
      <w:r>
        <w:rPr>
          <w:rFonts w:hint="eastAsia" w:ascii="仿宋_GB2312" w:hAnsi="仿宋_GB2312" w:eastAsia="仿宋_GB2312" w:cs="仿宋_GB2312"/>
          <w:sz w:val="32"/>
          <w:szCs w:val="32"/>
        </w:rPr>
        <w:t>强化业务统筹和案例指导</w:t>
      </w:r>
      <w:r>
        <w:rPr>
          <w:rFonts w:hint="eastAsia" w:ascii="仿宋_GB2312" w:hAnsi="仿宋_GB2312" w:eastAsia="仿宋_GB2312" w:cs="仿宋_GB2312"/>
          <w:sz w:val="32"/>
          <w:szCs w:val="32"/>
          <w:lang w:eastAsia="zh-CN"/>
        </w:rPr>
        <w:t>，</w:t>
      </w:r>
      <w:r>
        <w:rPr>
          <w:rFonts w:hint="eastAsia" w:eastAsia="仿宋_GB2312" w:cs="仿宋_GB2312"/>
          <w:sz w:val="32"/>
          <w:szCs w:val="32"/>
        </w:rPr>
        <w:t>定期</w:t>
      </w:r>
      <w:r>
        <w:rPr>
          <w:rFonts w:hint="eastAsia" w:eastAsia="仿宋_GB2312" w:cs="仿宋_GB2312"/>
          <w:sz w:val="32"/>
          <w:szCs w:val="32"/>
          <w:lang w:val="en-US" w:eastAsia="zh-CN"/>
        </w:rPr>
        <w:t>组织</w:t>
      </w:r>
      <w:r>
        <w:rPr>
          <w:rFonts w:hint="eastAsia" w:eastAsia="仿宋_GB2312" w:cs="仿宋_GB2312"/>
          <w:sz w:val="32"/>
          <w:szCs w:val="32"/>
        </w:rPr>
        <w:t>开展联合会商，研究</w:t>
      </w:r>
      <w:r>
        <w:rPr>
          <w:rFonts w:hint="eastAsia" w:eastAsia="仿宋_GB2312" w:cs="仿宋_GB2312"/>
          <w:sz w:val="32"/>
          <w:szCs w:val="32"/>
          <w:lang w:val="en-US" w:eastAsia="zh-CN"/>
        </w:rPr>
        <w:t>处置</w:t>
      </w:r>
      <w:r>
        <w:rPr>
          <w:rFonts w:hint="eastAsia" w:eastAsia="仿宋_GB2312" w:cs="仿宋_GB2312"/>
          <w:sz w:val="32"/>
          <w:szCs w:val="32"/>
        </w:rPr>
        <w:t>疑难、复杂申请。开展</w:t>
      </w:r>
      <w:r>
        <w:rPr>
          <w:rFonts w:hint="eastAsia" w:eastAsia="仿宋_GB2312" w:cs="仿宋_GB2312"/>
          <w:sz w:val="32"/>
          <w:szCs w:val="32"/>
          <w:lang w:val="en-US" w:eastAsia="zh-CN"/>
        </w:rPr>
        <w:t>依申请公开</w:t>
      </w:r>
      <w:r>
        <w:rPr>
          <w:rFonts w:hint="eastAsia" w:eastAsia="仿宋_GB2312" w:cs="仿宋_GB2312"/>
          <w:sz w:val="32"/>
          <w:szCs w:val="32"/>
        </w:rPr>
        <w:t>暗访，编制依申请公开服务效能评估分析报告，有针对性制定改进措施。</w:t>
      </w:r>
      <w:r>
        <w:rPr>
          <w:rFonts w:hint="eastAsia" w:ascii="仿宋_GB2312" w:hAnsi="仿宋_GB2312" w:eastAsia="仿宋_GB2312" w:cs="仿宋_GB2312"/>
          <w:sz w:val="32"/>
          <w:szCs w:val="32"/>
        </w:rPr>
        <w:t>2025年新收到政府信息公开申请11228件，2024年结转至2025年办理276件，共计11504件；按规定结转至2026年继续办理441件，2025年共依法办结11063件。从申请内容看，主要涉及城市更新、征收拆迁、土地出让等方面，共办理政府信息公开行政复议</w:t>
      </w:r>
      <w:r>
        <w:rPr>
          <w:rFonts w:hint="eastAsia" w:ascii="仿宋_GB2312" w:hAnsi="仿宋_GB2312" w:eastAsia="仿宋_GB2312" w:cs="仿宋_GB2312"/>
          <w:sz w:val="32"/>
          <w:szCs w:val="32"/>
          <w:lang w:val="en-US" w:eastAsia="zh-CN"/>
        </w:rPr>
        <w:t>484</w:t>
      </w:r>
      <w:r>
        <w:rPr>
          <w:rFonts w:hint="eastAsia" w:ascii="仿宋_GB2312" w:hAnsi="仿宋_GB2312" w:eastAsia="仿宋_GB2312" w:cs="仿宋_GB2312"/>
          <w:sz w:val="32"/>
          <w:szCs w:val="32"/>
        </w:rPr>
        <w:t>件，行政诉讼22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081D5D71">
      <w:pPr>
        <w:pStyle w:val="2"/>
        <w:ind w:left="0" w:leftChars="0" w:firstLine="0" w:firstLineChars="0"/>
        <w:jc w:val="center"/>
        <w:rPr>
          <w:rFonts w:hint="eastAsia"/>
        </w:rPr>
      </w:pPr>
      <w:r>
        <w:rPr>
          <w:rFonts w:hint="eastAsia" w:eastAsia="仿宋_GB2312"/>
          <w:lang w:eastAsia="zh-CN"/>
        </w:rPr>
        <w:drawing>
          <wp:inline distT="0" distB="0" distL="114300" distR="114300">
            <wp:extent cx="4112260" cy="2118360"/>
            <wp:effectExtent l="0" t="0" r="0" b="0"/>
            <wp:docPr id="4" name="图片 4" descr="依申请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依申请公开"/>
                    <pic:cNvPicPr>
                      <a:picLocks noChangeAspect="1"/>
                    </pic:cNvPicPr>
                  </pic:nvPicPr>
                  <pic:blipFill>
                    <a:blip r:embed="rId6"/>
                    <a:srcRect t="6158" b="7529"/>
                    <a:stretch>
                      <a:fillRect/>
                    </a:stretch>
                  </pic:blipFill>
                  <pic:spPr>
                    <a:xfrm>
                      <a:off x="0" y="0"/>
                      <a:ext cx="4112260" cy="2118360"/>
                    </a:xfrm>
                    <a:prstGeom prst="rect">
                      <a:avLst/>
                    </a:prstGeom>
                  </pic:spPr>
                </pic:pic>
              </a:graphicData>
            </a:graphic>
          </wp:inline>
        </w:drawing>
      </w:r>
    </w:p>
    <w:p w14:paraId="718538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rPr>
        <w:t>（三）政府信息管理。</w:t>
      </w:r>
      <w:r>
        <w:rPr>
          <w:rFonts w:hint="eastAsia" w:ascii="仿宋_GB2312" w:hAnsi="仿宋_GB2312" w:eastAsia="仿宋_GB2312" w:cs="仿宋_GB2312"/>
          <w:sz w:val="32"/>
          <w:szCs w:val="32"/>
        </w:rPr>
        <w:t>建立市、区（县）、街道（镇）三级主动公开事项目录体系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并做好动态调整和持续更新。</w:t>
      </w:r>
      <w:r>
        <w:rPr>
          <w:rFonts w:hint="eastAsia" w:ascii="仿宋_GB2312" w:hAnsi="仿宋_GB2312" w:eastAsia="仿宋_GB2312" w:cs="仿宋_GB2312"/>
          <w:sz w:val="32"/>
          <w:szCs w:val="32"/>
          <w:lang w:val="en-US" w:eastAsia="zh-CN"/>
        </w:rPr>
        <w:t>健全完善市政府文件库，</w:t>
      </w:r>
      <w:r>
        <w:rPr>
          <w:rFonts w:hint="eastAsia" w:ascii="仿宋_GB2312" w:hAnsi="仿宋_GB2312" w:eastAsia="仿宋_GB2312" w:cs="仿宋_GB2312"/>
          <w:sz w:val="32"/>
          <w:szCs w:val="32"/>
        </w:rPr>
        <w:t>优化</w:t>
      </w:r>
      <w:r>
        <w:rPr>
          <w:rFonts w:hint="eastAsia" w:ascii="仿宋_GB2312" w:hAnsi="仿宋_GB2312" w:eastAsia="仿宋_GB2312" w:cs="仿宋_GB2312"/>
          <w:sz w:val="32"/>
          <w:szCs w:val="32"/>
          <w:lang w:val="en-US" w:eastAsia="zh-CN"/>
        </w:rPr>
        <w:t>页面</w:t>
      </w:r>
      <w:r>
        <w:rPr>
          <w:rFonts w:hint="eastAsia" w:ascii="仿宋_GB2312" w:hAnsi="仿宋_GB2312" w:eastAsia="仿宋_GB2312" w:cs="仿宋_GB2312"/>
          <w:sz w:val="32"/>
          <w:szCs w:val="32"/>
        </w:rPr>
        <w:t>展示，</w:t>
      </w:r>
      <w:r>
        <w:rPr>
          <w:rFonts w:hint="eastAsia" w:ascii="仿宋_GB2312" w:hAnsi="仿宋_GB2312" w:eastAsia="仿宋_GB2312" w:cs="仿宋_GB2312"/>
          <w:sz w:val="32"/>
          <w:szCs w:val="32"/>
          <w:lang w:val="en-US" w:eastAsia="zh-CN"/>
        </w:rPr>
        <w:t>强化检索查询等功能，开发上线</w:t>
      </w:r>
      <w:r>
        <w:rPr>
          <w:rFonts w:hint="eastAsia" w:ascii="仿宋_GB2312" w:hAnsi="仿宋_GB2312" w:eastAsia="仿宋_GB2312" w:cs="仿宋_GB2312"/>
          <w:sz w:val="32"/>
          <w:szCs w:val="32"/>
        </w:rPr>
        <w:t>历史沿革功能模块</w:t>
      </w:r>
      <w:r>
        <w:rPr>
          <w:rFonts w:hint="eastAsia" w:ascii="仿宋_GB2312" w:hAnsi="仿宋_GB2312" w:eastAsia="仿宋_GB2312" w:cs="仿宋_GB2312"/>
          <w:sz w:val="32"/>
          <w:szCs w:val="32"/>
          <w:lang w:eastAsia="zh-CN"/>
        </w:rPr>
        <w:t>。全年制定并公开政府规章</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个，现行有效规章69个；新制定并公开规范性文件42个，现行有效规范性文件274个。</w:t>
      </w:r>
    </w:p>
    <w:p w14:paraId="423E3199">
      <w:pPr>
        <w:pStyle w:val="2"/>
        <w:ind w:left="0" w:leftChars="0" w:firstLine="0" w:firstLineChars="0"/>
        <w:jc w:val="center"/>
        <w:rPr>
          <w:rFonts w:hint="eastAsia"/>
          <w:lang w:eastAsia="zh-CN"/>
        </w:rPr>
      </w:pPr>
      <w:r>
        <w:rPr>
          <w:rFonts w:hint="eastAsia"/>
          <w:lang w:eastAsia="zh-CN"/>
        </w:rPr>
        <w:drawing>
          <wp:inline distT="0" distB="0" distL="114300" distR="114300">
            <wp:extent cx="4671060" cy="2531745"/>
            <wp:effectExtent l="0" t="0" r="7620" b="13335"/>
            <wp:docPr id="10" name="图片 10" descr="政府文件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政府文件库"/>
                    <pic:cNvPicPr>
                      <a:picLocks noChangeAspect="1"/>
                    </pic:cNvPicPr>
                  </pic:nvPicPr>
                  <pic:blipFill>
                    <a:blip r:embed="rId7"/>
                    <a:stretch>
                      <a:fillRect/>
                    </a:stretch>
                  </pic:blipFill>
                  <pic:spPr>
                    <a:xfrm>
                      <a:off x="0" y="0"/>
                      <a:ext cx="4671060" cy="2531745"/>
                    </a:xfrm>
                    <a:prstGeom prst="rect">
                      <a:avLst/>
                    </a:prstGeom>
                  </pic:spPr>
                </pic:pic>
              </a:graphicData>
            </a:graphic>
          </wp:inline>
        </w:drawing>
      </w:r>
    </w:p>
    <w:p w14:paraId="3B011C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（四）平台建设。</w:t>
      </w:r>
      <w:r>
        <w:rPr>
          <w:rFonts w:hint="eastAsia" w:ascii="仿宋_GB2312" w:hAnsi="仿宋_GB2312" w:eastAsia="仿宋_GB2312" w:cs="仿宋_GB2312"/>
          <w:sz w:val="32"/>
          <w:szCs w:val="32"/>
        </w:rPr>
        <w:t>持续</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政府网站和政务新媒体集约化建设水平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不断</w:t>
      </w:r>
      <w:r>
        <w:rPr>
          <w:rFonts w:hint="eastAsia" w:ascii="仿宋_GB2312" w:hAnsi="仿宋_GB2312" w:eastAsia="仿宋_GB2312" w:cs="仿宋_GB2312"/>
          <w:sz w:val="32"/>
          <w:szCs w:val="32"/>
        </w:rPr>
        <w:t>优化网站栏目设置</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功能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扎实做好</w:t>
      </w:r>
      <w:r>
        <w:rPr>
          <w:rFonts w:hint="eastAsia" w:ascii="仿宋_GB2312" w:hAnsi="仿宋_GB2312" w:eastAsia="仿宋_GB2312" w:cs="仿宋_GB2312"/>
          <w:sz w:val="32"/>
          <w:szCs w:val="32"/>
        </w:rPr>
        <w:t>政务新媒体“瘦身提质”</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做优做强</w:t>
      </w:r>
      <w:r>
        <w:rPr>
          <w:rFonts w:hint="eastAsia" w:ascii="仿宋_GB2312" w:hAnsi="仿宋_GB2312" w:eastAsia="仿宋_GB2312" w:cs="仿宋_GB2312"/>
          <w:sz w:val="32"/>
          <w:szCs w:val="32"/>
        </w:rPr>
        <w:t>“济南公安”“济南人社”等一批群众关注度高、影响力大的精品账号。全年编辑出版《济南市人民政府公报》24期，</w:t>
      </w:r>
      <w:r>
        <w:rPr>
          <w:rFonts w:hint="eastAsia" w:ascii="仿宋_GB2312" w:hAnsi="仿宋_GB2312" w:eastAsia="仿宋_GB2312" w:cs="仿宋_GB2312"/>
          <w:sz w:val="32"/>
          <w:szCs w:val="32"/>
          <w:lang w:val="en-US" w:eastAsia="zh-CN"/>
        </w:rPr>
        <w:t>进一步</w:t>
      </w:r>
      <w:r>
        <w:rPr>
          <w:rFonts w:hint="eastAsia" w:ascii="仿宋_GB2312" w:hAnsi="仿宋_GB2312" w:eastAsia="仿宋_GB2312" w:cs="仿宋_GB2312"/>
          <w:sz w:val="32"/>
          <w:szCs w:val="32"/>
        </w:rPr>
        <w:t>扩大网络版公报覆盖面和查阅便利度。持续优化</w:t>
      </w:r>
      <w:r>
        <w:rPr>
          <w:rFonts w:hint="eastAsia" w:ascii="仿宋_GB2312" w:hAnsi="仿宋_GB2312" w:eastAsia="仿宋_GB2312" w:cs="仿宋_GB2312"/>
          <w:sz w:val="32"/>
          <w:szCs w:val="32"/>
          <w:lang w:val="en-US" w:eastAsia="zh-CN"/>
        </w:rPr>
        <w:t>各级</w:t>
      </w:r>
      <w:r>
        <w:rPr>
          <w:rFonts w:hint="eastAsia" w:ascii="仿宋_GB2312" w:hAnsi="仿宋_GB2312" w:eastAsia="仿宋_GB2312" w:cs="仿宋_GB2312"/>
          <w:sz w:val="32"/>
          <w:szCs w:val="32"/>
        </w:rPr>
        <w:t>政务公开专区建设，进一步</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专区利用率、知晓度和为民服务质效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将其打造为政策咨询、信息查阅、民意收集的重要阵地。</w:t>
      </w:r>
    </w:p>
    <w:p w14:paraId="2B0F445E">
      <w:pPr>
        <w:pStyle w:val="2"/>
        <w:ind w:left="0" w:leftChars="0" w:firstLine="0" w:firstLineChars="0"/>
        <w:jc w:val="center"/>
        <w:rPr>
          <w:rFonts w:hint="eastAsia"/>
        </w:rPr>
      </w:pPr>
      <w:r>
        <w:rPr>
          <w:rFonts w:hint="eastAsia" w:eastAsiaTheme="minorEastAsia"/>
          <w:lang w:eastAsia="zh-CN"/>
        </w:rPr>
        <w:drawing>
          <wp:inline distT="0" distB="0" distL="114300" distR="114300">
            <wp:extent cx="5186045" cy="2164715"/>
            <wp:effectExtent l="0" t="0" r="10795" b="0"/>
            <wp:docPr id="12" name="图片 12" descr="政务公开专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政务公开专区"/>
                    <pic:cNvPicPr>
                      <a:picLocks noChangeAspect="1"/>
                    </pic:cNvPicPr>
                  </pic:nvPicPr>
                  <pic:blipFill>
                    <a:blip r:embed="rId8"/>
                    <a:srcRect b="32074"/>
                    <a:stretch>
                      <a:fillRect/>
                    </a:stretch>
                  </pic:blipFill>
                  <pic:spPr>
                    <a:xfrm>
                      <a:off x="0" y="0"/>
                      <a:ext cx="5186045" cy="2164715"/>
                    </a:xfrm>
                    <a:prstGeom prst="rect">
                      <a:avLst/>
                    </a:prstGeom>
                  </pic:spPr>
                </pic:pic>
              </a:graphicData>
            </a:graphic>
          </wp:inline>
        </w:drawing>
      </w:r>
    </w:p>
    <w:p w14:paraId="05B8AAB7">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kern w:val="2"/>
          <w:sz w:val="32"/>
          <w:szCs w:val="32"/>
          <w:lang w:val="en-US" w:eastAsia="zh-CN" w:bidi="ar-SA"/>
        </w:rPr>
        <w:t>（五）监督保障。</w:t>
      </w:r>
      <w:r>
        <w:rPr>
          <w:rFonts w:hint="eastAsia" w:ascii="仿宋_GB2312" w:hAnsi="仿宋_GB2312" w:eastAsia="仿宋_GB2312" w:cs="仿宋_GB2312"/>
          <w:kern w:val="2"/>
          <w:sz w:val="32"/>
          <w:szCs w:val="32"/>
          <w:lang w:val="en-US" w:eastAsia="zh-CN" w:bidi="ar-SA"/>
        </w:rPr>
        <w:t>组织召开全市政务公开工作推进暨培训（视频）会议，</w:t>
      </w:r>
      <w:r>
        <w:rPr>
          <w:rFonts w:hint="eastAsia" w:eastAsia="仿宋_GB2312" w:cs="仿宋_GB2312"/>
          <w:kern w:val="2"/>
          <w:sz w:val="32"/>
          <w:szCs w:val="32"/>
          <w:lang w:val="en-US" w:eastAsia="zh-CN" w:bidi="ar-SA"/>
        </w:rPr>
        <w:t>加强</w:t>
      </w:r>
      <w:r>
        <w:rPr>
          <w:rFonts w:hint="eastAsia" w:ascii="仿宋_GB2312" w:hAnsi="仿宋_GB2312" w:eastAsia="仿宋_GB2312" w:cs="仿宋_GB2312"/>
          <w:kern w:val="2"/>
          <w:sz w:val="32"/>
          <w:szCs w:val="32"/>
          <w:lang w:val="en-US" w:eastAsia="zh-CN" w:bidi="ar-SA"/>
        </w:rPr>
        <w:t>对重点工作的统一部署、统筹协调和监督指导；派员到市司法局、市人力资源社会保障局等单位开展专题业务培训10余场，累计培训2000余人次。坚持将政务公开纳入全市高质量发展综合绩效考核，</w:t>
      </w:r>
      <w:r>
        <w:rPr>
          <w:rFonts w:hint="eastAsia" w:eastAsia="仿宋_GB2312" w:cs="仿宋_GB2312"/>
          <w:kern w:val="2"/>
          <w:sz w:val="32"/>
          <w:szCs w:val="32"/>
          <w:lang w:val="en-US" w:eastAsia="zh-CN" w:bidi="ar-SA"/>
        </w:rPr>
        <w:t>坚持</w:t>
      </w:r>
      <w:r>
        <w:rPr>
          <w:rFonts w:hint="eastAsia" w:ascii="仿宋_GB2312" w:hAnsi="仿宋_GB2312" w:eastAsia="仿宋_GB2312" w:cs="仿宋_GB2312"/>
          <w:kern w:val="2"/>
          <w:sz w:val="32"/>
          <w:szCs w:val="32"/>
          <w:lang w:val="en-US" w:eastAsia="zh-CN" w:bidi="ar-SA"/>
        </w:rPr>
        <w:t>“日常监管、问题整改、督查督办、监测问效”工作机制，推动政务公开工作</w:t>
      </w:r>
      <w:r>
        <w:rPr>
          <w:rFonts w:hint="eastAsia" w:eastAsia="仿宋_GB2312" w:cs="仿宋_GB2312"/>
          <w:kern w:val="2"/>
          <w:sz w:val="32"/>
          <w:szCs w:val="32"/>
          <w:lang w:val="en-US" w:eastAsia="zh-CN" w:bidi="ar-SA"/>
        </w:rPr>
        <w:t>落地落实</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sz w:val="32"/>
          <w:szCs w:val="32"/>
        </w:rPr>
        <w:t>严格执行政府信息公开社会评议制度和责任追究制度，全年没有因政府信息公开被追究责任的问题。</w:t>
      </w:r>
    </w:p>
    <w:p w14:paraId="5B9675F9">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_GB2312" w:hAnsi="仿宋_GB2312" w:eastAsia="仿宋_GB2312" w:cs="仿宋_GB2312"/>
          <w:sz w:val="32"/>
          <w:szCs w:val="32"/>
        </w:rPr>
      </w:pPr>
      <w:r>
        <w:drawing>
          <wp:inline distT="0" distB="0" distL="114300" distR="114300">
            <wp:extent cx="4695190" cy="2726055"/>
            <wp:effectExtent l="0" t="0" r="13970" b="1905"/>
            <wp:docPr id="5" name="图片 4" descr="微信图片_20251209104635_875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51209104635_875_107"/>
                    <pic:cNvPicPr>
                      <a:picLocks noChangeAspect="1"/>
                    </pic:cNvPicPr>
                  </pic:nvPicPr>
                  <pic:blipFill>
                    <a:blip r:embed="rId9"/>
                    <a:srcRect t="22586"/>
                    <a:stretch>
                      <a:fillRect/>
                    </a:stretch>
                  </pic:blipFill>
                  <pic:spPr>
                    <a:xfrm>
                      <a:off x="0" y="0"/>
                      <a:ext cx="4695190" cy="2726055"/>
                    </a:xfrm>
                    <a:prstGeom prst="rect">
                      <a:avLst/>
                    </a:prstGeom>
                  </pic:spPr>
                </pic:pic>
              </a:graphicData>
            </a:graphic>
          </wp:inline>
        </w:drawing>
      </w:r>
    </w:p>
    <w:p w14:paraId="1CBAD2C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二、主动公开政府信息情况</w:t>
      </w:r>
    </w:p>
    <w:tbl>
      <w:tblPr>
        <w:tblStyle w:val="10"/>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95"/>
        <w:gridCol w:w="2435"/>
        <w:gridCol w:w="2435"/>
        <w:gridCol w:w="2435"/>
      </w:tblGrid>
      <w:tr w14:paraId="07BB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0" w:type="dxa"/>
            <w:gridSpan w:val="4"/>
            <w:shd w:val="clear" w:color="auto" w:fill="C6D9F1"/>
            <w:tcMar>
              <w:top w:w="0" w:type="dxa"/>
              <w:left w:w="57" w:type="dxa"/>
              <w:bottom w:w="0" w:type="dxa"/>
              <w:right w:w="57" w:type="dxa"/>
            </w:tcMar>
            <w:vAlign w:val="center"/>
          </w:tcPr>
          <w:p w14:paraId="3A8BFC93">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第二十条第（一）项</w:t>
            </w:r>
          </w:p>
        </w:tc>
      </w:tr>
      <w:tr w14:paraId="177F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341F218A">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2435" w:type="dxa"/>
            <w:tcMar>
              <w:top w:w="0" w:type="dxa"/>
              <w:left w:w="57" w:type="dxa"/>
              <w:bottom w:w="0" w:type="dxa"/>
              <w:right w:w="57" w:type="dxa"/>
            </w:tcMar>
            <w:vAlign w:val="center"/>
          </w:tcPr>
          <w:p w14:paraId="7AB1D236">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w:t>
            </w:r>
            <w:r>
              <w:rPr>
                <w:rFonts w:hint="eastAsia" w:ascii="仿宋_GB2312" w:hAnsi="仿宋_GB2312" w:eastAsia="仿宋_GB2312" w:cs="仿宋_GB2312"/>
                <w:kern w:val="0"/>
                <w:sz w:val="28"/>
                <w:szCs w:val="28"/>
              </w:rPr>
              <w:t>制发件数</w:t>
            </w:r>
          </w:p>
        </w:tc>
        <w:tc>
          <w:tcPr>
            <w:tcW w:w="2435" w:type="dxa"/>
            <w:tcMar>
              <w:top w:w="0" w:type="dxa"/>
              <w:left w:w="57" w:type="dxa"/>
              <w:bottom w:w="0" w:type="dxa"/>
              <w:right w:w="57" w:type="dxa"/>
            </w:tcMar>
            <w:vAlign w:val="center"/>
          </w:tcPr>
          <w:p w14:paraId="3339359C">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本年废止件数</w:t>
            </w:r>
          </w:p>
        </w:tc>
        <w:tc>
          <w:tcPr>
            <w:tcW w:w="2435" w:type="dxa"/>
            <w:tcMar>
              <w:top w:w="0" w:type="dxa"/>
              <w:left w:w="57" w:type="dxa"/>
              <w:bottom w:w="0" w:type="dxa"/>
              <w:right w:w="57" w:type="dxa"/>
            </w:tcMar>
            <w:vAlign w:val="center"/>
          </w:tcPr>
          <w:p w14:paraId="3EEB995A">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现行有效件</w:t>
            </w:r>
            <w:r>
              <w:rPr>
                <w:rFonts w:hint="eastAsia" w:ascii="仿宋_GB2312" w:hAnsi="仿宋_GB2312" w:eastAsia="仿宋_GB2312" w:cs="仿宋_GB2312"/>
                <w:kern w:val="0"/>
                <w:sz w:val="28"/>
                <w:szCs w:val="28"/>
              </w:rPr>
              <w:t>数</w:t>
            </w:r>
          </w:p>
        </w:tc>
      </w:tr>
      <w:tr w14:paraId="2B65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06DF1DA5">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规章</w:t>
            </w:r>
          </w:p>
        </w:tc>
        <w:tc>
          <w:tcPr>
            <w:tcW w:w="2435" w:type="dxa"/>
            <w:tcMar>
              <w:top w:w="0" w:type="dxa"/>
              <w:left w:w="57" w:type="dxa"/>
              <w:bottom w:w="0" w:type="dxa"/>
              <w:right w:w="57" w:type="dxa"/>
            </w:tcMar>
            <w:vAlign w:val="center"/>
          </w:tcPr>
          <w:p w14:paraId="07936FD5">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w:t>
            </w:r>
          </w:p>
        </w:tc>
        <w:tc>
          <w:tcPr>
            <w:tcW w:w="2435" w:type="dxa"/>
            <w:tcMar>
              <w:top w:w="0" w:type="dxa"/>
              <w:left w:w="57" w:type="dxa"/>
              <w:bottom w:w="0" w:type="dxa"/>
              <w:right w:w="57" w:type="dxa"/>
            </w:tcMar>
            <w:vAlign w:val="center"/>
          </w:tcPr>
          <w:p w14:paraId="54952D6D">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w:t>
            </w:r>
          </w:p>
        </w:tc>
        <w:tc>
          <w:tcPr>
            <w:tcW w:w="2435" w:type="dxa"/>
            <w:tcMar>
              <w:top w:w="0" w:type="dxa"/>
              <w:left w:w="57" w:type="dxa"/>
              <w:bottom w:w="0" w:type="dxa"/>
              <w:right w:w="57" w:type="dxa"/>
            </w:tcMar>
            <w:vAlign w:val="center"/>
          </w:tcPr>
          <w:p w14:paraId="5CC6E53A">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69</w:t>
            </w:r>
          </w:p>
        </w:tc>
      </w:tr>
      <w:tr w14:paraId="7C51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352F7B32">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行政规范性文件</w:t>
            </w:r>
          </w:p>
        </w:tc>
        <w:tc>
          <w:tcPr>
            <w:tcW w:w="2435" w:type="dxa"/>
            <w:tcMar>
              <w:top w:w="0" w:type="dxa"/>
              <w:left w:w="57" w:type="dxa"/>
              <w:bottom w:w="0" w:type="dxa"/>
              <w:right w:w="57" w:type="dxa"/>
            </w:tcMar>
            <w:vAlign w:val="center"/>
          </w:tcPr>
          <w:p w14:paraId="015B1E3F">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42</w:t>
            </w:r>
          </w:p>
        </w:tc>
        <w:tc>
          <w:tcPr>
            <w:tcW w:w="2435" w:type="dxa"/>
            <w:tcMar>
              <w:top w:w="0" w:type="dxa"/>
              <w:left w:w="57" w:type="dxa"/>
              <w:bottom w:w="0" w:type="dxa"/>
              <w:right w:w="57" w:type="dxa"/>
            </w:tcMar>
            <w:vAlign w:val="center"/>
          </w:tcPr>
          <w:p w14:paraId="2CE1BBD3">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39</w:t>
            </w:r>
          </w:p>
        </w:tc>
        <w:tc>
          <w:tcPr>
            <w:tcW w:w="2435" w:type="dxa"/>
            <w:tcMar>
              <w:top w:w="0" w:type="dxa"/>
              <w:left w:w="57" w:type="dxa"/>
              <w:bottom w:w="0" w:type="dxa"/>
              <w:right w:w="57" w:type="dxa"/>
            </w:tcMar>
            <w:vAlign w:val="center"/>
          </w:tcPr>
          <w:p w14:paraId="611E2EAB">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274</w:t>
            </w:r>
          </w:p>
        </w:tc>
      </w:tr>
      <w:tr w14:paraId="3AD2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0" w:type="dxa"/>
            <w:gridSpan w:val="4"/>
            <w:shd w:val="clear" w:color="auto" w:fill="C6D9F1"/>
            <w:tcMar>
              <w:top w:w="0" w:type="dxa"/>
              <w:left w:w="57" w:type="dxa"/>
              <w:bottom w:w="0" w:type="dxa"/>
              <w:right w:w="57" w:type="dxa"/>
            </w:tcMar>
            <w:vAlign w:val="center"/>
          </w:tcPr>
          <w:p w14:paraId="4A61ACA3">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第二十条第（五）项</w:t>
            </w:r>
          </w:p>
        </w:tc>
      </w:tr>
      <w:tr w14:paraId="1674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7CDDBBF2">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305" w:type="dxa"/>
            <w:gridSpan w:val="3"/>
            <w:tcMar>
              <w:top w:w="0" w:type="dxa"/>
              <w:left w:w="57" w:type="dxa"/>
              <w:bottom w:w="0" w:type="dxa"/>
              <w:right w:w="57" w:type="dxa"/>
            </w:tcMar>
            <w:vAlign w:val="center"/>
          </w:tcPr>
          <w:p w14:paraId="05617E31">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本年处理决定数量</w:t>
            </w:r>
          </w:p>
        </w:tc>
      </w:tr>
      <w:tr w14:paraId="4521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11FFCF29">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行政许可</w:t>
            </w:r>
          </w:p>
        </w:tc>
        <w:tc>
          <w:tcPr>
            <w:tcW w:w="7305" w:type="dxa"/>
            <w:gridSpan w:val="3"/>
            <w:shd w:val="clear" w:color="auto" w:fill="auto"/>
            <w:tcMar>
              <w:top w:w="0" w:type="dxa"/>
              <w:left w:w="57" w:type="dxa"/>
              <w:bottom w:w="0" w:type="dxa"/>
              <w:right w:w="57" w:type="dxa"/>
            </w:tcMar>
            <w:vAlign w:val="center"/>
          </w:tcPr>
          <w:p w14:paraId="4AC84B82">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微软雅黑" w:hAnsi="微软雅黑" w:eastAsia="微软雅黑" w:cs="微软雅黑"/>
                <w:i w:val="0"/>
                <w:iCs w:val="0"/>
                <w:color w:val="000000"/>
                <w:kern w:val="2"/>
                <w:sz w:val="20"/>
                <w:szCs w:val="20"/>
                <w:u w:val="none"/>
                <w:lang w:val="en-US" w:eastAsia="zh-CN" w:bidi="ar-SA"/>
              </w:rPr>
            </w:pPr>
            <w:r>
              <w:rPr>
                <w:rFonts w:hint="eastAsia" w:ascii="仿宋_GB2312" w:hAnsi="仿宋_GB2312" w:eastAsia="仿宋_GB2312" w:cs="仿宋_GB2312"/>
                <w:kern w:val="0"/>
                <w:sz w:val="28"/>
                <w:szCs w:val="28"/>
                <w:lang w:val="en-US" w:eastAsia="zh-CN"/>
              </w:rPr>
              <w:t>10680966</w:t>
            </w:r>
          </w:p>
        </w:tc>
      </w:tr>
      <w:tr w14:paraId="6AE9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0" w:type="dxa"/>
            <w:gridSpan w:val="4"/>
            <w:shd w:val="clear" w:color="auto" w:fill="C6D9F1"/>
            <w:tcMar>
              <w:top w:w="0" w:type="dxa"/>
              <w:left w:w="57" w:type="dxa"/>
              <w:bottom w:w="0" w:type="dxa"/>
              <w:right w:w="57" w:type="dxa"/>
            </w:tcMar>
            <w:vAlign w:val="center"/>
          </w:tcPr>
          <w:p w14:paraId="6F580F57">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第二十条第（六）项</w:t>
            </w:r>
          </w:p>
        </w:tc>
      </w:tr>
      <w:tr w14:paraId="3953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05A47EA5">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305" w:type="dxa"/>
            <w:gridSpan w:val="3"/>
            <w:tcMar>
              <w:top w:w="0" w:type="dxa"/>
              <w:left w:w="57" w:type="dxa"/>
              <w:bottom w:w="0" w:type="dxa"/>
              <w:right w:w="57" w:type="dxa"/>
            </w:tcMar>
            <w:vAlign w:val="center"/>
          </w:tcPr>
          <w:p w14:paraId="22E4DB29">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本年处理决定数量</w:t>
            </w:r>
          </w:p>
        </w:tc>
      </w:tr>
      <w:tr w14:paraId="3B74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170EFBB8">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行政处罚</w:t>
            </w:r>
          </w:p>
        </w:tc>
        <w:tc>
          <w:tcPr>
            <w:tcW w:w="7305" w:type="dxa"/>
            <w:gridSpan w:val="3"/>
            <w:shd w:val="clear" w:color="auto" w:fill="auto"/>
            <w:tcMar>
              <w:top w:w="0" w:type="dxa"/>
              <w:left w:w="57" w:type="dxa"/>
              <w:bottom w:w="0" w:type="dxa"/>
              <w:right w:w="57" w:type="dxa"/>
            </w:tcMar>
            <w:vAlign w:val="center"/>
          </w:tcPr>
          <w:p w14:paraId="419772CF">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9187578</w:t>
            </w:r>
          </w:p>
        </w:tc>
      </w:tr>
      <w:tr w14:paraId="0540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141D0943">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行政强制</w:t>
            </w:r>
          </w:p>
        </w:tc>
        <w:tc>
          <w:tcPr>
            <w:tcW w:w="7305" w:type="dxa"/>
            <w:gridSpan w:val="3"/>
            <w:shd w:val="clear" w:color="auto" w:fill="auto"/>
            <w:tcMar>
              <w:top w:w="0" w:type="dxa"/>
              <w:left w:w="57" w:type="dxa"/>
              <w:bottom w:w="0" w:type="dxa"/>
              <w:right w:w="57" w:type="dxa"/>
            </w:tcMar>
            <w:vAlign w:val="center"/>
          </w:tcPr>
          <w:p w14:paraId="41597F5A">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66435</w:t>
            </w:r>
          </w:p>
        </w:tc>
      </w:tr>
      <w:tr w14:paraId="1E55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0" w:type="dxa"/>
            <w:gridSpan w:val="4"/>
            <w:shd w:val="clear" w:color="auto" w:fill="C6D9F1"/>
            <w:tcMar>
              <w:top w:w="0" w:type="dxa"/>
              <w:left w:w="57" w:type="dxa"/>
              <w:bottom w:w="0" w:type="dxa"/>
              <w:right w:w="57" w:type="dxa"/>
            </w:tcMar>
            <w:vAlign w:val="center"/>
          </w:tcPr>
          <w:p w14:paraId="74CCC95D">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第二十条第（八）项</w:t>
            </w:r>
          </w:p>
        </w:tc>
      </w:tr>
      <w:tr w14:paraId="7377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037BAEAE">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305" w:type="dxa"/>
            <w:gridSpan w:val="3"/>
            <w:tcMar>
              <w:top w:w="0" w:type="dxa"/>
              <w:left w:w="57" w:type="dxa"/>
              <w:bottom w:w="0" w:type="dxa"/>
              <w:right w:w="57" w:type="dxa"/>
            </w:tcMar>
            <w:vAlign w:val="center"/>
          </w:tcPr>
          <w:p w14:paraId="2BF710EC">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本年收费金额（单位：万元）</w:t>
            </w:r>
          </w:p>
        </w:tc>
      </w:tr>
      <w:tr w14:paraId="261B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5" w:type="dxa"/>
            <w:tcMar>
              <w:top w:w="0" w:type="dxa"/>
              <w:left w:w="57" w:type="dxa"/>
              <w:bottom w:w="0" w:type="dxa"/>
              <w:right w:w="57" w:type="dxa"/>
            </w:tcMar>
            <w:vAlign w:val="center"/>
          </w:tcPr>
          <w:p w14:paraId="70E1F632">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行政事业性收费</w:t>
            </w:r>
          </w:p>
        </w:tc>
        <w:tc>
          <w:tcPr>
            <w:tcW w:w="7305" w:type="dxa"/>
            <w:gridSpan w:val="3"/>
            <w:tcMar>
              <w:top w:w="0" w:type="dxa"/>
              <w:left w:w="57" w:type="dxa"/>
              <w:bottom w:w="0" w:type="dxa"/>
              <w:right w:w="57" w:type="dxa"/>
            </w:tcMar>
            <w:vAlign w:val="center"/>
          </w:tcPr>
          <w:p w14:paraId="0AA42019">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281426</w:t>
            </w:r>
          </w:p>
        </w:tc>
      </w:tr>
    </w:tbl>
    <w:p w14:paraId="44489D6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三、收到和处理政府信息公开申请情况</w:t>
      </w:r>
    </w:p>
    <w:tbl>
      <w:tblPr>
        <w:tblStyle w:val="10"/>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48"/>
        <w:gridCol w:w="1052"/>
        <w:gridCol w:w="3403"/>
        <w:gridCol w:w="908"/>
        <w:gridCol w:w="577"/>
        <w:gridCol w:w="593"/>
        <w:gridCol w:w="606"/>
        <w:gridCol w:w="708"/>
        <w:gridCol w:w="567"/>
        <w:gridCol w:w="851"/>
      </w:tblGrid>
      <w:tr w14:paraId="7B104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103" w:type="dxa"/>
            <w:gridSpan w:val="3"/>
            <w:vMerge w:val="restart"/>
            <w:shd w:val="clear" w:color="auto" w:fill="auto"/>
            <w:tcMar>
              <w:left w:w="108" w:type="dxa"/>
              <w:right w:w="108" w:type="dxa"/>
            </w:tcMar>
            <w:vAlign w:val="center"/>
          </w:tcPr>
          <w:p w14:paraId="126A3E1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仿宋_GB2312" w:hAnsi="Times New Roman" w:eastAsia="仿宋_GB2312"/>
                <w:sz w:val="24"/>
                <w:szCs w:val="24"/>
              </w:rPr>
            </w:pPr>
            <w:r>
              <w:rPr>
                <w:rFonts w:hint="eastAsia" w:ascii="楷体_GB2312" w:hAnsi="黑体" w:eastAsia="楷体_GB2312"/>
                <w:kern w:val="0"/>
                <w:sz w:val="24"/>
                <w:szCs w:val="24"/>
              </w:rPr>
              <w:t>（本列数据的勾稽关系为：第一项加第二项之和，等于第三项加第四项之和）</w:t>
            </w:r>
          </w:p>
        </w:tc>
        <w:tc>
          <w:tcPr>
            <w:tcW w:w="4810" w:type="dxa"/>
            <w:gridSpan w:val="7"/>
            <w:shd w:val="clear" w:color="auto" w:fill="auto"/>
            <w:tcMar>
              <w:left w:w="108" w:type="dxa"/>
              <w:right w:w="108" w:type="dxa"/>
            </w:tcMar>
            <w:vAlign w:val="center"/>
          </w:tcPr>
          <w:p w14:paraId="5005D70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黑体" w:hAnsi="黑体" w:eastAsia="黑体"/>
                <w:sz w:val="24"/>
                <w:szCs w:val="24"/>
              </w:rPr>
            </w:pPr>
            <w:r>
              <w:rPr>
                <w:rFonts w:hint="eastAsia" w:ascii="黑体" w:hAnsi="黑体" w:eastAsia="黑体"/>
                <w:kern w:val="0"/>
                <w:sz w:val="24"/>
                <w:szCs w:val="24"/>
              </w:rPr>
              <w:t>申请人情况</w:t>
            </w:r>
          </w:p>
        </w:tc>
      </w:tr>
      <w:tr w14:paraId="0181C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103" w:type="dxa"/>
            <w:gridSpan w:val="3"/>
            <w:vMerge w:val="continue"/>
            <w:shd w:val="clear" w:color="auto" w:fill="auto"/>
            <w:tcMar>
              <w:left w:w="108" w:type="dxa"/>
              <w:right w:w="108" w:type="dxa"/>
            </w:tcMar>
            <w:vAlign w:val="center"/>
          </w:tcPr>
          <w:p w14:paraId="5C0F9506">
            <w:pPr>
              <w:keepNext w:val="0"/>
              <w:keepLines w:val="0"/>
              <w:pageBreakBefore w:val="0"/>
              <w:kinsoku/>
              <w:wordWrap/>
              <w:overflowPunct/>
              <w:topLinePunct w:val="0"/>
              <w:autoSpaceDE/>
              <w:autoSpaceDN/>
              <w:bidi w:val="0"/>
              <w:adjustRightInd/>
              <w:snapToGrid/>
              <w:spacing w:line="400" w:lineRule="atLeast"/>
              <w:jc w:val="center"/>
              <w:textAlignment w:val="auto"/>
              <w:rPr>
                <w:rFonts w:ascii="仿宋_GB2312" w:hAnsi="Times New Roman" w:eastAsia="仿宋_GB2312"/>
                <w:sz w:val="24"/>
                <w:szCs w:val="24"/>
              </w:rPr>
            </w:pPr>
          </w:p>
        </w:tc>
        <w:tc>
          <w:tcPr>
            <w:tcW w:w="908" w:type="dxa"/>
            <w:vMerge w:val="restart"/>
            <w:shd w:val="clear" w:color="auto" w:fill="auto"/>
            <w:tcMar>
              <w:left w:w="108" w:type="dxa"/>
              <w:right w:w="108" w:type="dxa"/>
            </w:tcMar>
            <w:vAlign w:val="center"/>
          </w:tcPr>
          <w:p w14:paraId="321BAF7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黑体" w:hAnsi="黑体" w:eastAsia="黑体"/>
                <w:sz w:val="24"/>
                <w:szCs w:val="24"/>
              </w:rPr>
            </w:pPr>
            <w:r>
              <w:rPr>
                <w:rFonts w:hint="eastAsia" w:ascii="黑体" w:hAnsi="黑体" w:eastAsia="黑体"/>
                <w:kern w:val="0"/>
                <w:sz w:val="24"/>
                <w:szCs w:val="24"/>
              </w:rPr>
              <w:t>自然人</w:t>
            </w:r>
          </w:p>
        </w:tc>
        <w:tc>
          <w:tcPr>
            <w:tcW w:w="3051" w:type="dxa"/>
            <w:gridSpan w:val="5"/>
            <w:shd w:val="clear" w:color="auto" w:fill="auto"/>
            <w:tcMar>
              <w:left w:w="108" w:type="dxa"/>
              <w:right w:w="108" w:type="dxa"/>
            </w:tcMar>
            <w:vAlign w:val="center"/>
          </w:tcPr>
          <w:p w14:paraId="3B5CC63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黑体" w:hAnsi="黑体" w:eastAsia="黑体"/>
                <w:sz w:val="24"/>
                <w:szCs w:val="24"/>
              </w:rPr>
            </w:pPr>
            <w:r>
              <w:rPr>
                <w:rFonts w:hint="eastAsia" w:ascii="黑体" w:hAnsi="黑体" w:eastAsia="黑体"/>
                <w:kern w:val="0"/>
                <w:sz w:val="24"/>
                <w:szCs w:val="24"/>
              </w:rPr>
              <w:t>法人或其他组织</w:t>
            </w:r>
          </w:p>
        </w:tc>
        <w:tc>
          <w:tcPr>
            <w:tcW w:w="851" w:type="dxa"/>
            <w:vMerge w:val="restart"/>
            <w:shd w:val="clear" w:color="auto" w:fill="auto"/>
            <w:tcMar>
              <w:left w:w="108" w:type="dxa"/>
              <w:right w:w="108" w:type="dxa"/>
            </w:tcMar>
            <w:vAlign w:val="center"/>
          </w:tcPr>
          <w:p w14:paraId="2295937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黑体" w:hAnsi="黑体" w:eastAsia="黑体"/>
                <w:sz w:val="24"/>
                <w:szCs w:val="24"/>
              </w:rPr>
            </w:pPr>
            <w:r>
              <w:rPr>
                <w:rFonts w:hint="eastAsia" w:ascii="黑体" w:hAnsi="黑体" w:eastAsia="黑体"/>
                <w:kern w:val="0"/>
                <w:sz w:val="24"/>
                <w:szCs w:val="24"/>
              </w:rPr>
              <w:t>总计</w:t>
            </w:r>
          </w:p>
        </w:tc>
      </w:tr>
      <w:tr w14:paraId="1E1A9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3" w:type="dxa"/>
            <w:gridSpan w:val="3"/>
            <w:vMerge w:val="continue"/>
            <w:shd w:val="clear" w:color="auto" w:fill="auto"/>
            <w:tcMar>
              <w:left w:w="108" w:type="dxa"/>
              <w:right w:w="108" w:type="dxa"/>
            </w:tcMar>
            <w:vAlign w:val="center"/>
          </w:tcPr>
          <w:p w14:paraId="0BFAF6DA">
            <w:pPr>
              <w:keepNext w:val="0"/>
              <w:keepLines w:val="0"/>
              <w:pageBreakBefore w:val="0"/>
              <w:kinsoku/>
              <w:wordWrap/>
              <w:overflowPunct/>
              <w:topLinePunct w:val="0"/>
              <w:autoSpaceDE/>
              <w:autoSpaceDN/>
              <w:bidi w:val="0"/>
              <w:adjustRightInd/>
              <w:snapToGrid/>
              <w:spacing w:line="400" w:lineRule="atLeast"/>
              <w:jc w:val="center"/>
              <w:textAlignment w:val="auto"/>
              <w:rPr>
                <w:rFonts w:ascii="仿宋_GB2312" w:hAnsi="Times New Roman" w:eastAsia="仿宋_GB2312"/>
                <w:sz w:val="24"/>
                <w:szCs w:val="24"/>
              </w:rPr>
            </w:pPr>
          </w:p>
        </w:tc>
        <w:tc>
          <w:tcPr>
            <w:tcW w:w="908" w:type="dxa"/>
            <w:vMerge w:val="continue"/>
            <w:shd w:val="clear" w:color="auto" w:fill="auto"/>
            <w:tcMar>
              <w:left w:w="108" w:type="dxa"/>
              <w:right w:w="108" w:type="dxa"/>
            </w:tcMar>
            <w:vAlign w:val="center"/>
          </w:tcPr>
          <w:p w14:paraId="6531E890">
            <w:pPr>
              <w:keepNext w:val="0"/>
              <w:keepLines w:val="0"/>
              <w:pageBreakBefore w:val="0"/>
              <w:kinsoku/>
              <w:wordWrap/>
              <w:overflowPunct/>
              <w:topLinePunct w:val="0"/>
              <w:autoSpaceDE/>
              <w:autoSpaceDN/>
              <w:bidi w:val="0"/>
              <w:adjustRightInd/>
              <w:snapToGrid/>
              <w:spacing w:line="400" w:lineRule="atLeast"/>
              <w:jc w:val="center"/>
              <w:textAlignment w:val="auto"/>
              <w:rPr>
                <w:rFonts w:ascii="黑体" w:hAnsi="黑体" w:eastAsia="黑体"/>
                <w:sz w:val="24"/>
                <w:szCs w:val="24"/>
              </w:rPr>
            </w:pPr>
          </w:p>
        </w:tc>
        <w:tc>
          <w:tcPr>
            <w:tcW w:w="577" w:type="dxa"/>
            <w:shd w:val="clear" w:color="auto" w:fill="auto"/>
            <w:tcMar>
              <w:left w:w="108" w:type="dxa"/>
              <w:right w:w="108" w:type="dxa"/>
            </w:tcMar>
            <w:vAlign w:val="center"/>
          </w:tcPr>
          <w:p w14:paraId="3E8AC30A">
            <w:pPr>
              <w:keepNext w:val="0"/>
              <w:keepLines w:val="0"/>
              <w:pageBreakBefore w:val="0"/>
              <w:widowControl/>
              <w:kinsoku/>
              <w:wordWrap/>
              <w:overflowPunct/>
              <w:topLinePunct w:val="0"/>
              <w:autoSpaceDE/>
              <w:autoSpaceDN/>
              <w:bidi w:val="0"/>
              <w:adjustRightInd/>
              <w:snapToGrid/>
              <w:spacing w:line="400" w:lineRule="atLeast"/>
              <w:ind w:left="-106" w:leftChars="-51" w:right="-107" w:rightChars="-51" w:hanging="1"/>
              <w:jc w:val="center"/>
              <w:textAlignment w:val="auto"/>
              <w:rPr>
                <w:rFonts w:ascii="黑体" w:hAnsi="黑体" w:eastAsia="黑体"/>
                <w:sz w:val="24"/>
                <w:szCs w:val="24"/>
              </w:rPr>
            </w:pPr>
            <w:r>
              <w:rPr>
                <w:rFonts w:hint="eastAsia" w:ascii="黑体" w:hAnsi="黑体" w:eastAsia="黑体"/>
                <w:kern w:val="0"/>
                <w:sz w:val="24"/>
                <w:szCs w:val="24"/>
              </w:rPr>
              <w:t>商业企业</w:t>
            </w:r>
          </w:p>
        </w:tc>
        <w:tc>
          <w:tcPr>
            <w:tcW w:w="593" w:type="dxa"/>
            <w:shd w:val="clear" w:color="auto" w:fill="auto"/>
            <w:tcMar>
              <w:left w:w="108" w:type="dxa"/>
              <w:right w:w="108" w:type="dxa"/>
            </w:tcMar>
            <w:vAlign w:val="center"/>
          </w:tcPr>
          <w:p w14:paraId="3760F497">
            <w:pPr>
              <w:keepNext w:val="0"/>
              <w:keepLines w:val="0"/>
              <w:pageBreakBefore w:val="0"/>
              <w:widowControl/>
              <w:kinsoku/>
              <w:wordWrap/>
              <w:overflowPunct/>
              <w:topLinePunct w:val="0"/>
              <w:autoSpaceDE/>
              <w:autoSpaceDN/>
              <w:bidi w:val="0"/>
              <w:adjustRightInd/>
              <w:snapToGrid/>
              <w:spacing w:line="400" w:lineRule="atLeast"/>
              <w:ind w:left="-107" w:leftChars="-51" w:right="-107" w:rightChars="-51"/>
              <w:jc w:val="center"/>
              <w:textAlignment w:val="auto"/>
              <w:rPr>
                <w:rFonts w:ascii="黑体" w:hAnsi="黑体" w:eastAsia="黑体"/>
                <w:sz w:val="24"/>
                <w:szCs w:val="24"/>
              </w:rPr>
            </w:pPr>
            <w:r>
              <w:rPr>
                <w:rFonts w:hint="eastAsia" w:ascii="黑体" w:hAnsi="黑体" w:eastAsia="黑体"/>
                <w:kern w:val="0"/>
                <w:sz w:val="24"/>
                <w:szCs w:val="24"/>
              </w:rPr>
              <w:t>科研机构</w:t>
            </w:r>
          </w:p>
        </w:tc>
        <w:tc>
          <w:tcPr>
            <w:tcW w:w="606" w:type="dxa"/>
            <w:shd w:val="clear" w:color="auto" w:fill="auto"/>
            <w:tcMar>
              <w:left w:w="108" w:type="dxa"/>
              <w:right w:w="108" w:type="dxa"/>
            </w:tcMar>
            <w:vAlign w:val="center"/>
          </w:tcPr>
          <w:p w14:paraId="5AC1BFB6">
            <w:pPr>
              <w:keepNext w:val="0"/>
              <w:keepLines w:val="0"/>
              <w:pageBreakBefore w:val="0"/>
              <w:widowControl/>
              <w:kinsoku/>
              <w:wordWrap/>
              <w:overflowPunct/>
              <w:topLinePunct w:val="0"/>
              <w:autoSpaceDE/>
              <w:autoSpaceDN/>
              <w:bidi w:val="0"/>
              <w:adjustRightInd/>
              <w:snapToGrid/>
              <w:spacing w:line="400" w:lineRule="atLeast"/>
              <w:ind w:left="-107" w:leftChars="-51" w:right="-107" w:rightChars="-51"/>
              <w:jc w:val="center"/>
              <w:textAlignment w:val="auto"/>
              <w:rPr>
                <w:rFonts w:ascii="黑体" w:hAnsi="黑体" w:eastAsia="黑体"/>
                <w:sz w:val="24"/>
                <w:szCs w:val="24"/>
              </w:rPr>
            </w:pPr>
            <w:r>
              <w:rPr>
                <w:rFonts w:hint="eastAsia" w:ascii="黑体" w:hAnsi="黑体" w:eastAsia="黑体"/>
                <w:kern w:val="0"/>
                <w:sz w:val="24"/>
                <w:szCs w:val="24"/>
              </w:rPr>
              <w:t>社会公益组织</w:t>
            </w:r>
          </w:p>
        </w:tc>
        <w:tc>
          <w:tcPr>
            <w:tcW w:w="708" w:type="dxa"/>
            <w:shd w:val="clear" w:color="auto" w:fill="auto"/>
            <w:tcMar>
              <w:left w:w="108" w:type="dxa"/>
              <w:right w:w="108" w:type="dxa"/>
            </w:tcMar>
            <w:vAlign w:val="center"/>
          </w:tcPr>
          <w:p w14:paraId="22B7E639">
            <w:pPr>
              <w:keepNext w:val="0"/>
              <w:keepLines w:val="0"/>
              <w:pageBreakBefore w:val="0"/>
              <w:widowControl/>
              <w:kinsoku/>
              <w:wordWrap/>
              <w:overflowPunct/>
              <w:topLinePunct w:val="0"/>
              <w:autoSpaceDE/>
              <w:autoSpaceDN/>
              <w:bidi w:val="0"/>
              <w:adjustRightInd/>
              <w:snapToGrid/>
              <w:spacing w:line="400" w:lineRule="atLeast"/>
              <w:ind w:left="-106" w:leftChars="-51" w:right="-107" w:rightChars="-51" w:hanging="1"/>
              <w:jc w:val="center"/>
              <w:textAlignment w:val="auto"/>
              <w:rPr>
                <w:rFonts w:ascii="黑体" w:hAnsi="黑体" w:eastAsia="黑体"/>
                <w:sz w:val="24"/>
                <w:szCs w:val="24"/>
              </w:rPr>
            </w:pPr>
            <w:r>
              <w:rPr>
                <w:rFonts w:hint="eastAsia" w:ascii="黑体" w:hAnsi="黑体" w:eastAsia="黑体"/>
                <w:kern w:val="0"/>
                <w:sz w:val="24"/>
                <w:szCs w:val="24"/>
              </w:rPr>
              <w:t>法律服务机构</w:t>
            </w:r>
          </w:p>
        </w:tc>
        <w:tc>
          <w:tcPr>
            <w:tcW w:w="567" w:type="dxa"/>
            <w:shd w:val="clear" w:color="auto" w:fill="auto"/>
            <w:tcMar>
              <w:left w:w="108" w:type="dxa"/>
              <w:right w:w="108" w:type="dxa"/>
            </w:tcMar>
            <w:vAlign w:val="center"/>
          </w:tcPr>
          <w:p w14:paraId="6427CBA3">
            <w:pPr>
              <w:keepNext w:val="0"/>
              <w:keepLines w:val="0"/>
              <w:pageBreakBefore w:val="0"/>
              <w:widowControl/>
              <w:kinsoku/>
              <w:wordWrap/>
              <w:overflowPunct/>
              <w:topLinePunct w:val="0"/>
              <w:autoSpaceDE/>
              <w:autoSpaceDN/>
              <w:bidi w:val="0"/>
              <w:adjustRightInd/>
              <w:snapToGrid/>
              <w:spacing w:line="400" w:lineRule="atLeast"/>
              <w:ind w:left="-63" w:leftChars="-30" w:right="-134" w:rightChars="-64"/>
              <w:jc w:val="center"/>
              <w:textAlignment w:val="auto"/>
              <w:rPr>
                <w:rFonts w:ascii="黑体" w:hAnsi="黑体" w:eastAsia="黑体"/>
                <w:sz w:val="24"/>
                <w:szCs w:val="24"/>
              </w:rPr>
            </w:pPr>
            <w:r>
              <w:rPr>
                <w:rFonts w:hint="eastAsia" w:ascii="黑体" w:hAnsi="黑体" w:eastAsia="黑体"/>
                <w:kern w:val="0"/>
                <w:sz w:val="24"/>
                <w:szCs w:val="24"/>
              </w:rPr>
              <w:t>其他</w:t>
            </w:r>
          </w:p>
        </w:tc>
        <w:tc>
          <w:tcPr>
            <w:tcW w:w="851" w:type="dxa"/>
            <w:vMerge w:val="continue"/>
            <w:shd w:val="clear" w:color="auto" w:fill="auto"/>
            <w:tcMar>
              <w:left w:w="108" w:type="dxa"/>
              <w:right w:w="108" w:type="dxa"/>
            </w:tcMar>
            <w:vAlign w:val="center"/>
          </w:tcPr>
          <w:p w14:paraId="3B077518">
            <w:pPr>
              <w:keepNext w:val="0"/>
              <w:keepLines w:val="0"/>
              <w:pageBreakBefore w:val="0"/>
              <w:kinsoku/>
              <w:wordWrap/>
              <w:overflowPunct/>
              <w:topLinePunct w:val="0"/>
              <w:autoSpaceDE/>
              <w:autoSpaceDN/>
              <w:bidi w:val="0"/>
              <w:adjustRightInd/>
              <w:snapToGrid/>
              <w:spacing w:line="400" w:lineRule="atLeast"/>
              <w:jc w:val="center"/>
              <w:textAlignment w:val="auto"/>
              <w:rPr>
                <w:rFonts w:ascii="仿宋_GB2312" w:hAnsi="Times New Roman" w:eastAsia="仿宋_GB2312"/>
                <w:sz w:val="24"/>
                <w:szCs w:val="24"/>
              </w:rPr>
            </w:pPr>
          </w:p>
        </w:tc>
      </w:tr>
      <w:tr w14:paraId="25491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3" w:type="dxa"/>
            <w:gridSpan w:val="3"/>
            <w:shd w:val="clear" w:color="auto" w:fill="auto"/>
            <w:tcMar>
              <w:left w:w="108" w:type="dxa"/>
              <w:right w:w="108" w:type="dxa"/>
            </w:tcMar>
            <w:vAlign w:val="center"/>
          </w:tcPr>
          <w:p w14:paraId="20E99E88">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sz w:val="24"/>
                <w:szCs w:val="24"/>
              </w:rPr>
            </w:pPr>
            <w:r>
              <w:rPr>
                <w:rFonts w:hint="eastAsia" w:ascii="黑体" w:hAnsi="黑体" w:eastAsia="黑体"/>
                <w:kern w:val="0"/>
                <w:sz w:val="24"/>
                <w:szCs w:val="24"/>
              </w:rPr>
              <w:t>一、</w:t>
            </w:r>
            <w:bookmarkStart w:id="0" w:name="_Hlk66973412"/>
            <w:r>
              <w:rPr>
                <w:rFonts w:hint="eastAsia" w:ascii="黑体" w:hAnsi="黑体" w:eastAsia="黑体"/>
                <w:kern w:val="0"/>
                <w:sz w:val="24"/>
                <w:szCs w:val="24"/>
              </w:rPr>
              <w:t>本年新收政府信息公开申请数量</w:t>
            </w:r>
            <w:bookmarkEnd w:id="0"/>
          </w:p>
        </w:tc>
        <w:tc>
          <w:tcPr>
            <w:tcW w:w="908" w:type="dxa"/>
            <w:shd w:val="clear" w:color="auto" w:fill="auto"/>
            <w:tcMar>
              <w:left w:w="108" w:type="dxa"/>
              <w:right w:w="108" w:type="dxa"/>
            </w:tcMar>
            <w:vAlign w:val="center"/>
          </w:tcPr>
          <w:p w14:paraId="2676274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10916</w:t>
            </w:r>
          </w:p>
        </w:tc>
        <w:tc>
          <w:tcPr>
            <w:tcW w:w="577" w:type="dxa"/>
            <w:shd w:val="clear" w:color="auto" w:fill="auto"/>
            <w:tcMar>
              <w:left w:w="108" w:type="dxa"/>
              <w:right w:w="108" w:type="dxa"/>
            </w:tcMar>
            <w:vAlign w:val="center"/>
          </w:tcPr>
          <w:p w14:paraId="43B7509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255</w:t>
            </w:r>
          </w:p>
        </w:tc>
        <w:tc>
          <w:tcPr>
            <w:tcW w:w="593" w:type="dxa"/>
            <w:shd w:val="clear" w:color="auto" w:fill="auto"/>
            <w:tcMar>
              <w:left w:w="108" w:type="dxa"/>
              <w:right w:w="108" w:type="dxa"/>
            </w:tcMar>
            <w:vAlign w:val="center"/>
          </w:tcPr>
          <w:p w14:paraId="5986549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606" w:type="dxa"/>
            <w:shd w:val="clear" w:color="auto" w:fill="auto"/>
            <w:tcMar>
              <w:left w:w="108" w:type="dxa"/>
              <w:right w:w="108" w:type="dxa"/>
            </w:tcMar>
            <w:vAlign w:val="center"/>
          </w:tcPr>
          <w:p w14:paraId="67421A3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28</w:t>
            </w:r>
          </w:p>
        </w:tc>
        <w:tc>
          <w:tcPr>
            <w:tcW w:w="708" w:type="dxa"/>
            <w:shd w:val="clear" w:color="auto" w:fill="auto"/>
            <w:tcMar>
              <w:left w:w="108" w:type="dxa"/>
              <w:right w:w="108" w:type="dxa"/>
            </w:tcMar>
            <w:vAlign w:val="center"/>
          </w:tcPr>
          <w:p w14:paraId="59F5B38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567" w:type="dxa"/>
            <w:shd w:val="clear" w:color="auto" w:fill="auto"/>
            <w:tcMar>
              <w:left w:w="108" w:type="dxa"/>
              <w:right w:w="108" w:type="dxa"/>
            </w:tcMar>
            <w:vAlign w:val="center"/>
          </w:tcPr>
          <w:p w14:paraId="0B851B7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19</w:t>
            </w:r>
          </w:p>
        </w:tc>
        <w:tc>
          <w:tcPr>
            <w:tcW w:w="851" w:type="dxa"/>
            <w:shd w:val="clear" w:color="auto" w:fill="auto"/>
            <w:tcMar>
              <w:left w:w="108" w:type="dxa"/>
              <w:right w:w="108" w:type="dxa"/>
            </w:tcMar>
            <w:vAlign w:val="center"/>
          </w:tcPr>
          <w:p w14:paraId="3D25823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11228</w:t>
            </w:r>
          </w:p>
        </w:tc>
      </w:tr>
      <w:tr w14:paraId="6D085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3" w:type="dxa"/>
            <w:gridSpan w:val="3"/>
            <w:shd w:val="clear" w:color="auto" w:fill="auto"/>
            <w:tcMar>
              <w:left w:w="108" w:type="dxa"/>
              <w:right w:w="108" w:type="dxa"/>
            </w:tcMar>
            <w:vAlign w:val="center"/>
          </w:tcPr>
          <w:p w14:paraId="26C42F3E">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sz w:val="24"/>
                <w:szCs w:val="24"/>
              </w:rPr>
            </w:pPr>
            <w:r>
              <w:rPr>
                <w:rFonts w:hint="eastAsia" w:ascii="黑体" w:hAnsi="黑体" w:eastAsia="黑体"/>
                <w:kern w:val="0"/>
                <w:sz w:val="24"/>
                <w:szCs w:val="24"/>
              </w:rPr>
              <w:t>二、上年结转政府信息公开申请数量</w:t>
            </w:r>
          </w:p>
        </w:tc>
        <w:tc>
          <w:tcPr>
            <w:tcW w:w="908" w:type="dxa"/>
            <w:shd w:val="clear" w:color="auto" w:fill="auto"/>
            <w:tcMar>
              <w:left w:w="108" w:type="dxa"/>
              <w:right w:w="108" w:type="dxa"/>
            </w:tcMar>
            <w:vAlign w:val="center"/>
          </w:tcPr>
          <w:p w14:paraId="3E70B52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274</w:t>
            </w:r>
          </w:p>
        </w:tc>
        <w:tc>
          <w:tcPr>
            <w:tcW w:w="577" w:type="dxa"/>
            <w:shd w:val="clear" w:color="auto" w:fill="auto"/>
            <w:tcMar>
              <w:left w:w="108" w:type="dxa"/>
              <w:right w:w="108" w:type="dxa"/>
            </w:tcMar>
            <w:vAlign w:val="center"/>
          </w:tcPr>
          <w:p w14:paraId="3E3FEFA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593" w:type="dxa"/>
            <w:shd w:val="clear" w:color="auto" w:fill="auto"/>
            <w:tcMar>
              <w:left w:w="108" w:type="dxa"/>
              <w:right w:w="108" w:type="dxa"/>
            </w:tcMar>
            <w:vAlign w:val="center"/>
          </w:tcPr>
          <w:p w14:paraId="7794453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3AEB84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60F454B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1C6065A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5852318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276</w:t>
            </w:r>
          </w:p>
        </w:tc>
      </w:tr>
      <w:tr w14:paraId="7A976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restart"/>
            <w:shd w:val="clear" w:color="auto" w:fill="auto"/>
            <w:tcMar>
              <w:left w:w="108" w:type="dxa"/>
              <w:right w:w="108" w:type="dxa"/>
            </w:tcMar>
            <w:vAlign w:val="center"/>
          </w:tcPr>
          <w:p w14:paraId="3BE977E3">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sz w:val="24"/>
                <w:szCs w:val="24"/>
              </w:rPr>
            </w:pPr>
            <w:r>
              <w:rPr>
                <w:rFonts w:hint="eastAsia" w:ascii="黑体" w:hAnsi="黑体" w:eastAsia="黑体"/>
                <w:kern w:val="0"/>
                <w:sz w:val="24"/>
                <w:szCs w:val="24"/>
              </w:rPr>
              <w:t>三、本年度办理结果</w:t>
            </w:r>
          </w:p>
        </w:tc>
        <w:tc>
          <w:tcPr>
            <w:tcW w:w="4455" w:type="dxa"/>
            <w:gridSpan w:val="2"/>
            <w:shd w:val="clear" w:color="auto" w:fill="auto"/>
            <w:tcMar>
              <w:left w:w="108" w:type="dxa"/>
              <w:right w:w="108" w:type="dxa"/>
            </w:tcMar>
            <w:vAlign w:val="center"/>
          </w:tcPr>
          <w:p w14:paraId="1F06883B">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sz w:val="24"/>
                <w:szCs w:val="24"/>
              </w:rPr>
            </w:pPr>
            <w:r>
              <w:rPr>
                <w:rFonts w:hint="eastAsia" w:ascii="黑体" w:hAnsi="黑体" w:eastAsia="黑体"/>
                <w:kern w:val="0"/>
                <w:sz w:val="24"/>
                <w:szCs w:val="24"/>
              </w:rPr>
              <w:t>（一）予以公开</w:t>
            </w:r>
          </w:p>
        </w:tc>
        <w:tc>
          <w:tcPr>
            <w:tcW w:w="908" w:type="dxa"/>
            <w:shd w:val="clear" w:color="auto" w:fill="auto"/>
            <w:tcMar>
              <w:left w:w="108" w:type="dxa"/>
              <w:right w:w="108" w:type="dxa"/>
            </w:tcMar>
            <w:vAlign w:val="center"/>
          </w:tcPr>
          <w:p w14:paraId="40D8B90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4611</w:t>
            </w:r>
          </w:p>
        </w:tc>
        <w:tc>
          <w:tcPr>
            <w:tcW w:w="577" w:type="dxa"/>
            <w:shd w:val="clear" w:color="auto" w:fill="auto"/>
            <w:tcMar>
              <w:left w:w="108" w:type="dxa"/>
              <w:right w:w="108" w:type="dxa"/>
            </w:tcMar>
            <w:vAlign w:val="center"/>
          </w:tcPr>
          <w:p w14:paraId="4BD79B7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118</w:t>
            </w:r>
          </w:p>
        </w:tc>
        <w:tc>
          <w:tcPr>
            <w:tcW w:w="593" w:type="dxa"/>
            <w:shd w:val="clear" w:color="auto" w:fill="auto"/>
            <w:tcMar>
              <w:left w:w="108" w:type="dxa"/>
              <w:right w:w="108" w:type="dxa"/>
            </w:tcMar>
            <w:vAlign w:val="center"/>
          </w:tcPr>
          <w:p w14:paraId="1CE550D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w:t>
            </w:r>
          </w:p>
        </w:tc>
        <w:tc>
          <w:tcPr>
            <w:tcW w:w="606" w:type="dxa"/>
            <w:shd w:val="clear" w:color="auto" w:fill="auto"/>
            <w:tcMar>
              <w:left w:w="108" w:type="dxa"/>
              <w:right w:w="108" w:type="dxa"/>
            </w:tcMar>
            <w:vAlign w:val="center"/>
          </w:tcPr>
          <w:p w14:paraId="06B0177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20</w:t>
            </w:r>
          </w:p>
        </w:tc>
        <w:tc>
          <w:tcPr>
            <w:tcW w:w="708" w:type="dxa"/>
            <w:shd w:val="clear" w:color="auto" w:fill="auto"/>
            <w:tcMar>
              <w:left w:w="108" w:type="dxa"/>
              <w:right w:w="108" w:type="dxa"/>
            </w:tcMar>
            <w:vAlign w:val="center"/>
          </w:tcPr>
          <w:p w14:paraId="473B4AC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68B9F2D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w:t>
            </w:r>
          </w:p>
        </w:tc>
        <w:tc>
          <w:tcPr>
            <w:tcW w:w="851" w:type="dxa"/>
            <w:shd w:val="clear" w:color="auto" w:fill="auto"/>
            <w:tcMar>
              <w:left w:w="108" w:type="dxa"/>
              <w:right w:w="108" w:type="dxa"/>
            </w:tcMar>
            <w:vAlign w:val="center"/>
          </w:tcPr>
          <w:p w14:paraId="13B23FE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4764</w:t>
            </w:r>
          </w:p>
        </w:tc>
      </w:tr>
      <w:tr w14:paraId="58F7C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5FD0F0FB">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4455" w:type="dxa"/>
            <w:gridSpan w:val="2"/>
            <w:shd w:val="clear" w:color="auto" w:fill="auto"/>
            <w:tcMar>
              <w:left w:w="108" w:type="dxa"/>
              <w:right w:w="108" w:type="dxa"/>
            </w:tcMar>
            <w:vAlign w:val="center"/>
          </w:tcPr>
          <w:p w14:paraId="34E2E32F">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sz w:val="24"/>
                <w:szCs w:val="24"/>
              </w:rPr>
            </w:pPr>
            <w:r>
              <w:rPr>
                <w:rFonts w:hint="eastAsia" w:ascii="黑体" w:hAnsi="黑体" w:eastAsia="黑体"/>
                <w:kern w:val="0"/>
                <w:sz w:val="24"/>
                <w:szCs w:val="24"/>
              </w:rPr>
              <w:t>（二）部分公开（</w:t>
            </w:r>
            <w:bookmarkStart w:id="1" w:name="_Hlk66973981"/>
            <w:r>
              <w:rPr>
                <w:rFonts w:hint="eastAsia" w:ascii="黑体" w:hAnsi="黑体" w:eastAsia="黑体"/>
                <w:kern w:val="0"/>
                <w:sz w:val="24"/>
                <w:szCs w:val="24"/>
              </w:rPr>
              <w:t>区分处理的，只计这一情形，不计其他情形</w:t>
            </w:r>
            <w:bookmarkEnd w:id="1"/>
            <w:r>
              <w:rPr>
                <w:rFonts w:hint="eastAsia" w:ascii="黑体" w:hAnsi="黑体" w:eastAsia="黑体"/>
                <w:kern w:val="0"/>
                <w:sz w:val="24"/>
                <w:szCs w:val="24"/>
              </w:rPr>
              <w:t>）</w:t>
            </w:r>
          </w:p>
        </w:tc>
        <w:tc>
          <w:tcPr>
            <w:tcW w:w="908" w:type="dxa"/>
            <w:shd w:val="clear" w:color="auto" w:fill="auto"/>
            <w:tcMar>
              <w:left w:w="108" w:type="dxa"/>
              <w:right w:w="108" w:type="dxa"/>
            </w:tcMar>
            <w:vAlign w:val="center"/>
          </w:tcPr>
          <w:p w14:paraId="2D91E82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1423</w:t>
            </w:r>
          </w:p>
        </w:tc>
        <w:tc>
          <w:tcPr>
            <w:tcW w:w="577" w:type="dxa"/>
            <w:shd w:val="clear" w:color="auto" w:fill="auto"/>
            <w:tcMar>
              <w:left w:w="108" w:type="dxa"/>
              <w:right w:w="108" w:type="dxa"/>
            </w:tcMar>
            <w:vAlign w:val="center"/>
          </w:tcPr>
          <w:p w14:paraId="4736B23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38</w:t>
            </w:r>
          </w:p>
        </w:tc>
        <w:tc>
          <w:tcPr>
            <w:tcW w:w="593" w:type="dxa"/>
            <w:shd w:val="clear" w:color="auto" w:fill="auto"/>
            <w:tcMar>
              <w:left w:w="108" w:type="dxa"/>
              <w:right w:w="108" w:type="dxa"/>
            </w:tcMar>
            <w:vAlign w:val="center"/>
          </w:tcPr>
          <w:p w14:paraId="5A037DC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606" w:type="dxa"/>
            <w:shd w:val="clear" w:color="auto" w:fill="auto"/>
            <w:tcMar>
              <w:left w:w="108" w:type="dxa"/>
              <w:right w:w="108" w:type="dxa"/>
            </w:tcMar>
            <w:vAlign w:val="center"/>
          </w:tcPr>
          <w:p w14:paraId="7509796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708" w:type="dxa"/>
            <w:shd w:val="clear" w:color="auto" w:fill="auto"/>
            <w:tcMar>
              <w:left w:w="108" w:type="dxa"/>
              <w:right w:w="108" w:type="dxa"/>
            </w:tcMar>
            <w:vAlign w:val="center"/>
          </w:tcPr>
          <w:p w14:paraId="40DA59C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567" w:type="dxa"/>
            <w:shd w:val="clear" w:color="auto" w:fill="auto"/>
            <w:tcMar>
              <w:left w:w="108" w:type="dxa"/>
              <w:right w:w="108" w:type="dxa"/>
            </w:tcMar>
            <w:vAlign w:val="center"/>
          </w:tcPr>
          <w:p w14:paraId="71160BD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851" w:type="dxa"/>
            <w:shd w:val="clear" w:color="auto" w:fill="auto"/>
            <w:tcMar>
              <w:left w:w="108" w:type="dxa"/>
              <w:right w:w="108" w:type="dxa"/>
            </w:tcMar>
            <w:vAlign w:val="center"/>
          </w:tcPr>
          <w:p w14:paraId="511F650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1465</w:t>
            </w:r>
          </w:p>
        </w:tc>
      </w:tr>
      <w:tr w14:paraId="4110B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2DCF6F88">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restart"/>
            <w:shd w:val="clear" w:color="auto" w:fill="auto"/>
            <w:tcMar>
              <w:left w:w="108" w:type="dxa"/>
              <w:right w:w="108" w:type="dxa"/>
            </w:tcMar>
            <w:vAlign w:val="center"/>
          </w:tcPr>
          <w:p w14:paraId="66A982E9">
            <w:pPr>
              <w:keepNext w:val="0"/>
              <w:keepLines w:val="0"/>
              <w:pageBreakBefore w:val="0"/>
              <w:widowControl/>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r>
              <w:rPr>
                <w:rFonts w:hint="eastAsia" w:ascii="黑体" w:hAnsi="黑体" w:eastAsia="黑体"/>
                <w:kern w:val="0"/>
                <w:sz w:val="24"/>
                <w:szCs w:val="24"/>
              </w:rPr>
              <w:t>（三）不予公开</w:t>
            </w:r>
          </w:p>
        </w:tc>
        <w:tc>
          <w:tcPr>
            <w:tcW w:w="3403" w:type="dxa"/>
            <w:shd w:val="clear" w:color="auto" w:fill="auto"/>
            <w:tcMar>
              <w:left w:w="108" w:type="dxa"/>
              <w:right w:w="108" w:type="dxa"/>
            </w:tcMar>
            <w:vAlign w:val="center"/>
          </w:tcPr>
          <w:p w14:paraId="5002ED5E">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1.属于国家秘密</w:t>
            </w:r>
          </w:p>
        </w:tc>
        <w:tc>
          <w:tcPr>
            <w:tcW w:w="908" w:type="dxa"/>
            <w:shd w:val="clear" w:color="auto" w:fill="auto"/>
            <w:tcMar>
              <w:left w:w="108" w:type="dxa"/>
              <w:right w:w="108" w:type="dxa"/>
            </w:tcMar>
            <w:vAlign w:val="center"/>
          </w:tcPr>
          <w:p w14:paraId="4FC233C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32</w:t>
            </w:r>
          </w:p>
        </w:tc>
        <w:tc>
          <w:tcPr>
            <w:tcW w:w="577" w:type="dxa"/>
            <w:shd w:val="clear" w:color="auto" w:fill="auto"/>
            <w:tcMar>
              <w:left w:w="108" w:type="dxa"/>
              <w:right w:w="108" w:type="dxa"/>
            </w:tcMar>
            <w:vAlign w:val="center"/>
          </w:tcPr>
          <w:p w14:paraId="3ED4AB2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593" w:type="dxa"/>
            <w:shd w:val="clear" w:color="auto" w:fill="auto"/>
            <w:tcMar>
              <w:left w:w="108" w:type="dxa"/>
              <w:right w:w="108" w:type="dxa"/>
            </w:tcMar>
            <w:vAlign w:val="center"/>
          </w:tcPr>
          <w:p w14:paraId="29866D0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2D5F979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53869B8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289BB6F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0D84EFB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34</w:t>
            </w:r>
          </w:p>
        </w:tc>
      </w:tr>
      <w:tr w14:paraId="7CFFD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5481311B">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0E65089D">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1ED526D4">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2.</w:t>
            </w:r>
            <w:bookmarkStart w:id="2" w:name="_Hlk66974104"/>
            <w:r>
              <w:rPr>
                <w:rFonts w:hint="eastAsia" w:ascii="仿宋_GB2312" w:hAnsi="黑体" w:eastAsia="仿宋_GB2312"/>
                <w:kern w:val="0"/>
                <w:sz w:val="24"/>
                <w:szCs w:val="24"/>
              </w:rPr>
              <w:t>其他法律行政法规禁止公开</w:t>
            </w:r>
            <w:bookmarkEnd w:id="2"/>
          </w:p>
        </w:tc>
        <w:tc>
          <w:tcPr>
            <w:tcW w:w="908" w:type="dxa"/>
            <w:shd w:val="clear" w:color="auto" w:fill="auto"/>
            <w:tcMar>
              <w:left w:w="108" w:type="dxa"/>
              <w:right w:w="108" w:type="dxa"/>
            </w:tcMar>
            <w:vAlign w:val="center"/>
          </w:tcPr>
          <w:p w14:paraId="540F630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12</w:t>
            </w:r>
          </w:p>
        </w:tc>
        <w:tc>
          <w:tcPr>
            <w:tcW w:w="577" w:type="dxa"/>
            <w:shd w:val="clear" w:color="auto" w:fill="auto"/>
            <w:tcMar>
              <w:left w:w="108" w:type="dxa"/>
              <w:right w:w="108" w:type="dxa"/>
            </w:tcMar>
            <w:vAlign w:val="center"/>
          </w:tcPr>
          <w:p w14:paraId="5FDF0A0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22009D9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86B9D7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20809A1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6AD87B0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193DE18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12</w:t>
            </w:r>
          </w:p>
        </w:tc>
      </w:tr>
      <w:tr w14:paraId="73F5D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0D1FB625">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21F4409E">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263C6DA6">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3.危及“三安全一稳定”</w:t>
            </w:r>
          </w:p>
        </w:tc>
        <w:tc>
          <w:tcPr>
            <w:tcW w:w="908" w:type="dxa"/>
            <w:shd w:val="clear" w:color="auto" w:fill="auto"/>
            <w:tcMar>
              <w:left w:w="108" w:type="dxa"/>
              <w:right w:w="108" w:type="dxa"/>
            </w:tcMar>
            <w:vAlign w:val="center"/>
          </w:tcPr>
          <w:p w14:paraId="059CCD1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577" w:type="dxa"/>
            <w:shd w:val="clear" w:color="auto" w:fill="auto"/>
            <w:tcMar>
              <w:left w:w="108" w:type="dxa"/>
              <w:right w:w="108" w:type="dxa"/>
            </w:tcMar>
            <w:vAlign w:val="center"/>
          </w:tcPr>
          <w:p w14:paraId="5009E32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67ABE9D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189B081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7E73785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6626420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64C7690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r>
      <w:tr w14:paraId="0C55B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4210164B">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68B1C2CC">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169CA5E3">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4.</w:t>
            </w:r>
            <w:bookmarkStart w:id="3" w:name="_Hlk66974290"/>
            <w:r>
              <w:rPr>
                <w:rFonts w:hint="eastAsia" w:ascii="仿宋_GB2312" w:hAnsi="黑体" w:eastAsia="仿宋_GB2312"/>
                <w:kern w:val="0"/>
                <w:sz w:val="24"/>
                <w:szCs w:val="24"/>
              </w:rPr>
              <w:t>保护第三方合法权益</w:t>
            </w:r>
            <w:bookmarkEnd w:id="3"/>
          </w:p>
        </w:tc>
        <w:tc>
          <w:tcPr>
            <w:tcW w:w="908" w:type="dxa"/>
            <w:shd w:val="clear" w:color="auto" w:fill="auto"/>
            <w:tcMar>
              <w:left w:w="108" w:type="dxa"/>
              <w:right w:w="108" w:type="dxa"/>
            </w:tcMar>
            <w:vAlign w:val="center"/>
          </w:tcPr>
          <w:p w14:paraId="5938416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64</w:t>
            </w:r>
          </w:p>
        </w:tc>
        <w:tc>
          <w:tcPr>
            <w:tcW w:w="577" w:type="dxa"/>
            <w:shd w:val="clear" w:color="auto" w:fill="auto"/>
            <w:tcMar>
              <w:left w:w="108" w:type="dxa"/>
              <w:right w:w="108" w:type="dxa"/>
            </w:tcMar>
            <w:vAlign w:val="center"/>
          </w:tcPr>
          <w:p w14:paraId="630A209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593" w:type="dxa"/>
            <w:shd w:val="clear" w:color="auto" w:fill="auto"/>
            <w:tcMar>
              <w:left w:w="108" w:type="dxa"/>
              <w:right w:w="108" w:type="dxa"/>
            </w:tcMar>
            <w:vAlign w:val="center"/>
          </w:tcPr>
          <w:p w14:paraId="0148336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7B3FEE9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517D94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79A8AD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285BAD0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66</w:t>
            </w:r>
          </w:p>
        </w:tc>
      </w:tr>
      <w:tr w14:paraId="6789B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2D16141F">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2ED70397">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4A57C5C7">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5.属于三类内部事务信息</w:t>
            </w:r>
          </w:p>
        </w:tc>
        <w:tc>
          <w:tcPr>
            <w:tcW w:w="908" w:type="dxa"/>
            <w:shd w:val="clear" w:color="auto" w:fill="auto"/>
            <w:tcMar>
              <w:left w:w="108" w:type="dxa"/>
              <w:right w:w="108" w:type="dxa"/>
            </w:tcMar>
            <w:vAlign w:val="center"/>
          </w:tcPr>
          <w:p w14:paraId="128D2A9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108</w:t>
            </w:r>
          </w:p>
        </w:tc>
        <w:tc>
          <w:tcPr>
            <w:tcW w:w="577" w:type="dxa"/>
            <w:shd w:val="clear" w:color="auto" w:fill="auto"/>
            <w:tcMar>
              <w:left w:w="108" w:type="dxa"/>
              <w:right w:w="108" w:type="dxa"/>
            </w:tcMar>
            <w:vAlign w:val="center"/>
          </w:tcPr>
          <w:p w14:paraId="43F0136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w:t>
            </w:r>
          </w:p>
        </w:tc>
        <w:tc>
          <w:tcPr>
            <w:tcW w:w="593" w:type="dxa"/>
            <w:shd w:val="clear" w:color="auto" w:fill="auto"/>
            <w:tcMar>
              <w:left w:w="108" w:type="dxa"/>
              <w:right w:w="108" w:type="dxa"/>
            </w:tcMar>
            <w:vAlign w:val="center"/>
          </w:tcPr>
          <w:p w14:paraId="42F0995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255BA97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1E38223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0CC614D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5D315A0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111</w:t>
            </w:r>
          </w:p>
        </w:tc>
      </w:tr>
      <w:tr w14:paraId="4129D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0DBE0883">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740E8184">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380CFDA6">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6.</w:t>
            </w:r>
            <w:bookmarkStart w:id="4" w:name="_Hlk66974555"/>
            <w:r>
              <w:rPr>
                <w:rFonts w:hint="eastAsia" w:ascii="仿宋_GB2312" w:hAnsi="黑体" w:eastAsia="仿宋_GB2312"/>
                <w:kern w:val="0"/>
                <w:sz w:val="24"/>
                <w:szCs w:val="24"/>
              </w:rPr>
              <w:t>属于四类过程性信息</w:t>
            </w:r>
            <w:bookmarkEnd w:id="4"/>
          </w:p>
        </w:tc>
        <w:tc>
          <w:tcPr>
            <w:tcW w:w="908" w:type="dxa"/>
            <w:shd w:val="clear" w:color="auto" w:fill="auto"/>
            <w:tcMar>
              <w:left w:w="108" w:type="dxa"/>
              <w:right w:w="108" w:type="dxa"/>
            </w:tcMar>
            <w:vAlign w:val="center"/>
          </w:tcPr>
          <w:p w14:paraId="239A874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206</w:t>
            </w:r>
          </w:p>
        </w:tc>
        <w:tc>
          <w:tcPr>
            <w:tcW w:w="577" w:type="dxa"/>
            <w:shd w:val="clear" w:color="auto" w:fill="auto"/>
            <w:tcMar>
              <w:left w:w="108" w:type="dxa"/>
              <w:right w:w="108" w:type="dxa"/>
            </w:tcMar>
            <w:vAlign w:val="center"/>
          </w:tcPr>
          <w:p w14:paraId="218C96D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593" w:type="dxa"/>
            <w:shd w:val="clear" w:color="auto" w:fill="auto"/>
            <w:tcMar>
              <w:left w:w="108" w:type="dxa"/>
              <w:right w:w="108" w:type="dxa"/>
            </w:tcMar>
            <w:vAlign w:val="center"/>
          </w:tcPr>
          <w:p w14:paraId="1D2774A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0291A7E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012B954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03C018A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3C98A38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207</w:t>
            </w:r>
          </w:p>
        </w:tc>
      </w:tr>
      <w:tr w14:paraId="1B218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5CAADE52">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283050E1">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377CF3E6">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7.属于行政执法案卷</w:t>
            </w:r>
          </w:p>
        </w:tc>
        <w:tc>
          <w:tcPr>
            <w:tcW w:w="908" w:type="dxa"/>
            <w:shd w:val="clear" w:color="auto" w:fill="auto"/>
            <w:tcMar>
              <w:left w:w="108" w:type="dxa"/>
              <w:right w:w="108" w:type="dxa"/>
            </w:tcMar>
            <w:vAlign w:val="center"/>
          </w:tcPr>
          <w:p w14:paraId="4CB41BB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127</w:t>
            </w:r>
          </w:p>
        </w:tc>
        <w:tc>
          <w:tcPr>
            <w:tcW w:w="577" w:type="dxa"/>
            <w:shd w:val="clear" w:color="auto" w:fill="auto"/>
            <w:tcMar>
              <w:left w:w="108" w:type="dxa"/>
              <w:right w:w="108" w:type="dxa"/>
            </w:tcMar>
            <w:vAlign w:val="center"/>
          </w:tcPr>
          <w:p w14:paraId="3A50FDF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593" w:type="dxa"/>
            <w:shd w:val="clear" w:color="auto" w:fill="auto"/>
            <w:tcMar>
              <w:left w:w="108" w:type="dxa"/>
              <w:right w:w="108" w:type="dxa"/>
            </w:tcMar>
            <w:vAlign w:val="center"/>
          </w:tcPr>
          <w:p w14:paraId="2B1AD04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46317DE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708" w:type="dxa"/>
            <w:shd w:val="clear" w:color="auto" w:fill="auto"/>
            <w:tcMar>
              <w:left w:w="108" w:type="dxa"/>
              <w:right w:w="108" w:type="dxa"/>
            </w:tcMar>
            <w:vAlign w:val="center"/>
          </w:tcPr>
          <w:p w14:paraId="1A0F400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25AC76A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175BF32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130</w:t>
            </w:r>
          </w:p>
        </w:tc>
      </w:tr>
      <w:tr w14:paraId="47A38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433C7AB3">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13918638">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79D4C923">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8.</w:t>
            </w:r>
            <w:bookmarkStart w:id="5" w:name="_Hlk66975211"/>
            <w:r>
              <w:rPr>
                <w:rFonts w:hint="eastAsia" w:ascii="仿宋_GB2312" w:hAnsi="黑体" w:eastAsia="仿宋_GB2312"/>
                <w:kern w:val="0"/>
                <w:sz w:val="24"/>
                <w:szCs w:val="24"/>
              </w:rPr>
              <w:t>属于行政查询事项</w:t>
            </w:r>
            <w:bookmarkEnd w:id="5"/>
          </w:p>
        </w:tc>
        <w:tc>
          <w:tcPr>
            <w:tcW w:w="908" w:type="dxa"/>
            <w:shd w:val="clear" w:color="auto" w:fill="auto"/>
            <w:tcMar>
              <w:left w:w="108" w:type="dxa"/>
              <w:right w:w="108" w:type="dxa"/>
            </w:tcMar>
            <w:vAlign w:val="center"/>
          </w:tcPr>
          <w:p w14:paraId="7CB8D13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227</w:t>
            </w:r>
          </w:p>
        </w:tc>
        <w:tc>
          <w:tcPr>
            <w:tcW w:w="577" w:type="dxa"/>
            <w:shd w:val="clear" w:color="auto" w:fill="auto"/>
            <w:tcMar>
              <w:left w:w="108" w:type="dxa"/>
              <w:right w:w="108" w:type="dxa"/>
            </w:tcMar>
            <w:vAlign w:val="center"/>
          </w:tcPr>
          <w:p w14:paraId="5A56B87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593" w:type="dxa"/>
            <w:shd w:val="clear" w:color="auto" w:fill="auto"/>
            <w:tcMar>
              <w:left w:w="108" w:type="dxa"/>
              <w:right w:w="108" w:type="dxa"/>
            </w:tcMar>
            <w:vAlign w:val="center"/>
          </w:tcPr>
          <w:p w14:paraId="0638426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01760C1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708" w:type="dxa"/>
            <w:shd w:val="clear" w:color="auto" w:fill="auto"/>
            <w:tcMar>
              <w:left w:w="108" w:type="dxa"/>
              <w:right w:w="108" w:type="dxa"/>
            </w:tcMar>
            <w:vAlign w:val="center"/>
          </w:tcPr>
          <w:p w14:paraId="390BC3C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E8B365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851" w:type="dxa"/>
            <w:shd w:val="clear" w:color="auto" w:fill="auto"/>
            <w:tcMar>
              <w:left w:w="108" w:type="dxa"/>
              <w:right w:w="108" w:type="dxa"/>
            </w:tcMar>
            <w:vAlign w:val="center"/>
          </w:tcPr>
          <w:p w14:paraId="1472801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230</w:t>
            </w:r>
          </w:p>
        </w:tc>
      </w:tr>
      <w:tr w14:paraId="3414D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23C9FF78">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restart"/>
            <w:shd w:val="clear" w:color="auto" w:fill="auto"/>
            <w:tcMar>
              <w:left w:w="108" w:type="dxa"/>
              <w:right w:w="108" w:type="dxa"/>
            </w:tcMar>
            <w:vAlign w:val="center"/>
          </w:tcPr>
          <w:p w14:paraId="29C9ED99">
            <w:pPr>
              <w:keepNext w:val="0"/>
              <w:keepLines w:val="0"/>
              <w:pageBreakBefore w:val="0"/>
              <w:widowControl/>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r>
              <w:rPr>
                <w:rFonts w:hint="eastAsia" w:ascii="黑体" w:hAnsi="黑体" w:eastAsia="黑体"/>
                <w:kern w:val="0"/>
                <w:sz w:val="24"/>
                <w:szCs w:val="24"/>
              </w:rPr>
              <w:t>（四）无法提供</w:t>
            </w:r>
          </w:p>
        </w:tc>
        <w:tc>
          <w:tcPr>
            <w:tcW w:w="3403" w:type="dxa"/>
            <w:shd w:val="clear" w:color="auto" w:fill="auto"/>
            <w:tcMar>
              <w:left w:w="108" w:type="dxa"/>
              <w:right w:w="108" w:type="dxa"/>
            </w:tcMar>
            <w:vAlign w:val="center"/>
          </w:tcPr>
          <w:p w14:paraId="0BE4840C">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1.本机关不掌握相关政府信息</w:t>
            </w:r>
          </w:p>
        </w:tc>
        <w:tc>
          <w:tcPr>
            <w:tcW w:w="908" w:type="dxa"/>
            <w:shd w:val="clear" w:color="auto" w:fill="auto"/>
            <w:tcMar>
              <w:left w:w="108" w:type="dxa"/>
              <w:right w:w="108" w:type="dxa"/>
            </w:tcMar>
            <w:vAlign w:val="center"/>
          </w:tcPr>
          <w:p w14:paraId="4464EB3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3271</w:t>
            </w:r>
          </w:p>
        </w:tc>
        <w:tc>
          <w:tcPr>
            <w:tcW w:w="577" w:type="dxa"/>
            <w:shd w:val="clear" w:color="auto" w:fill="auto"/>
            <w:tcMar>
              <w:left w:w="108" w:type="dxa"/>
              <w:right w:w="108" w:type="dxa"/>
            </w:tcMar>
            <w:vAlign w:val="center"/>
          </w:tcPr>
          <w:p w14:paraId="68B2C77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68</w:t>
            </w:r>
          </w:p>
        </w:tc>
        <w:tc>
          <w:tcPr>
            <w:tcW w:w="593" w:type="dxa"/>
            <w:shd w:val="clear" w:color="auto" w:fill="auto"/>
            <w:tcMar>
              <w:left w:w="108" w:type="dxa"/>
              <w:right w:w="108" w:type="dxa"/>
            </w:tcMar>
            <w:vAlign w:val="center"/>
          </w:tcPr>
          <w:p w14:paraId="636EBAF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82E39F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w:t>
            </w:r>
          </w:p>
        </w:tc>
        <w:tc>
          <w:tcPr>
            <w:tcW w:w="708" w:type="dxa"/>
            <w:shd w:val="clear" w:color="auto" w:fill="auto"/>
            <w:tcMar>
              <w:left w:w="108" w:type="dxa"/>
              <w:right w:w="108" w:type="dxa"/>
            </w:tcMar>
            <w:vAlign w:val="center"/>
          </w:tcPr>
          <w:p w14:paraId="30F3A02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w:t>
            </w:r>
          </w:p>
        </w:tc>
        <w:tc>
          <w:tcPr>
            <w:tcW w:w="567" w:type="dxa"/>
            <w:shd w:val="clear" w:color="auto" w:fill="auto"/>
            <w:tcMar>
              <w:left w:w="108" w:type="dxa"/>
              <w:right w:w="108" w:type="dxa"/>
            </w:tcMar>
            <w:vAlign w:val="center"/>
          </w:tcPr>
          <w:p w14:paraId="2F28715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851" w:type="dxa"/>
            <w:shd w:val="clear" w:color="auto" w:fill="auto"/>
            <w:tcMar>
              <w:left w:w="108" w:type="dxa"/>
              <w:right w:w="108" w:type="dxa"/>
            </w:tcMar>
            <w:vAlign w:val="center"/>
          </w:tcPr>
          <w:p w14:paraId="57A2EA3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3351</w:t>
            </w:r>
          </w:p>
        </w:tc>
      </w:tr>
      <w:tr w14:paraId="47B72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4F6DB2EA">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3AD6D5EE">
            <w:pPr>
              <w:keepNext w:val="0"/>
              <w:keepLines w:val="0"/>
              <w:pageBreakBefore w:val="0"/>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30ACA36C">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2.</w:t>
            </w:r>
            <w:bookmarkStart w:id="6" w:name="_Hlk66975392"/>
            <w:r>
              <w:rPr>
                <w:rFonts w:hint="eastAsia" w:ascii="仿宋_GB2312" w:hAnsi="黑体" w:eastAsia="仿宋_GB2312"/>
                <w:kern w:val="0"/>
                <w:sz w:val="24"/>
                <w:szCs w:val="24"/>
              </w:rPr>
              <w:t>没有现成信息需要另行制作</w:t>
            </w:r>
            <w:bookmarkEnd w:id="6"/>
          </w:p>
        </w:tc>
        <w:tc>
          <w:tcPr>
            <w:tcW w:w="908" w:type="dxa"/>
            <w:shd w:val="clear" w:color="auto" w:fill="auto"/>
            <w:tcMar>
              <w:left w:w="108" w:type="dxa"/>
              <w:right w:w="108" w:type="dxa"/>
            </w:tcMar>
            <w:vAlign w:val="center"/>
          </w:tcPr>
          <w:p w14:paraId="72B6AA7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96</w:t>
            </w:r>
          </w:p>
        </w:tc>
        <w:tc>
          <w:tcPr>
            <w:tcW w:w="577" w:type="dxa"/>
            <w:shd w:val="clear" w:color="auto" w:fill="auto"/>
            <w:tcMar>
              <w:left w:w="108" w:type="dxa"/>
              <w:right w:w="108" w:type="dxa"/>
            </w:tcMar>
            <w:vAlign w:val="center"/>
          </w:tcPr>
          <w:p w14:paraId="2B90452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w:t>
            </w:r>
          </w:p>
        </w:tc>
        <w:tc>
          <w:tcPr>
            <w:tcW w:w="593" w:type="dxa"/>
            <w:shd w:val="clear" w:color="auto" w:fill="auto"/>
            <w:tcMar>
              <w:left w:w="108" w:type="dxa"/>
              <w:right w:w="108" w:type="dxa"/>
            </w:tcMar>
            <w:vAlign w:val="center"/>
          </w:tcPr>
          <w:p w14:paraId="0CF6D00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6EBB1C2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7849AF0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7CB38F5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5A5CE6D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99</w:t>
            </w:r>
          </w:p>
        </w:tc>
      </w:tr>
      <w:tr w14:paraId="100B3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54037429">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56A9FFB7">
            <w:pPr>
              <w:keepNext w:val="0"/>
              <w:keepLines w:val="0"/>
              <w:pageBreakBefore w:val="0"/>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2D9C0835">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3.</w:t>
            </w:r>
            <w:bookmarkStart w:id="7" w:name="_Hlk66975466"/>
            <w:r>
              <w:rPr>
                <w:rFonts w:hint="eastAsia" w:ascii="仿宋_GB2312" w:hAnsi="黑体" w:eastAsia="仿宋_GB2312"/>
                <w:kern w:val="0"/>
                <w:sz w:val="24"/>
                <w:szCs w:val="24"/>
              </w:rPr>
              <w:t>补正后申请内容仍不明确</w:t>
            </w:r>
            <w:bookmarkEnd w:id="7"/>
          </w:p>
        </w:tc>
        <w:tc>
          <w:tcPr>
            <w:tcW w:w="908" w:type="dxa"/>
            <w:shd w:val="clear" w:color="auto" w:fill="auto"/>
            <w:tcMar>
              <w:left w:w="108" w:type="dxa"/>
              <w:right w:w="108" w:type="dxa"/>
            </w:tcMar>
            <w:vAlign w:val="center"/>
          </w:tcPr>
          <w:p w14:paraId="5265F3A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577" w:type="dxa"/>
            <w:shd w:val="clear" w:color="auto" w:fill="auto"/>
            <w:tcMar>
              <w:left w:w="108" w:type="dxa"/>
              <w:right w:w="108" w:type="dxa"/>
            </w:tcMar>
            <w:vAlign w:val="center"/>
          </w:tcPr>
          <w:p w14:paraId="33A01D5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7889CA5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4E62694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8BEDD8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A97ABF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0F70804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r>
      <w:tr w14:paraId="5C164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635DC8F2">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restart"/>
            <w:shd w:val="clear" w:color="auto" w:fill="auto"/>
            <w:tcMar>
              <w:left w:w="108" w:type="dxa"/>
              <w:right w:w="108" w:type="dxa"/>
            </w:tcMar>
            <w:vAlign w:val="center"/>
          </w:tcPr>
          <w:p w14:paraId="42F14744">
            <w:pPr>
              <w:keepNext w:val="0"/>
              <w:keepLines w:val="0"/>
              <w:pageBreakBefore w:val="0"/>
              <w:widowControl/>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r>
              <w:rPr>
                <w:rFonts w:hint="eastAsia" w:ascii="黑体" w:hAnsi="黑体" w:eastAsia="黑体"/>
                <w:kern w:val="0"/>
                <w:sz w:val="24"/>
                <w:szCs w:val="24"/>
              </w:rPr>
              <w:t>（五）不予处理</w:t>
            </w:r>
          </w:p>
        </w:tc>
        <w:tc>
          <w:tcPr>
            <w:tcW w:w="3403" w:type="dxa"/>
            <w:shd w:val="clear" w:color="auto" w:fill="auto"/>
            <w:tcMar>
              <w:left w:w="108" w:type="dxa"/>
              <w:right w:w="108" w:type="dxa"/>
            </w:tcMar>
            <w:vAlign w:val="center"/>
          </w:tcPr>
          <w:p w14:paraId="18E1564A">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1.</w:t>
            </w:r>
            <w:bookmarkStart w:id="8" w:name="_Hlk66975537"/>
            <w:r>
              <w:rPr>
                <w:rFonts w:hint="eastAsia" w:ascii="仿宋_GB2312" w:hAnsi="黑体" w:eastAsia="仿宋_GB2312"/>
                <w:kern w:val="0"/>
                <w:sz w:val="24"/>
                <w:szCs w:val="24"/>
              </w:rPr>
              <w:t>信访举报投诉类申请</w:t>
            </w:r>
            <w:bookmarkEnd w:id="8"/>
          </w:p>
        </w:tc>
        <w:tc>
          <w:tcPr>
            <w:tcW w:w="908" w:type="dxa"/>
            <w:shd w:val="clear" w:color="auto" w:fill="auto"/>
            <w:tcMar>
              <w:left w:w="108" w:type="dxa"/>
              <w:right w:w="108" w:type="dxa"/>
            </w:tcMar>
            <w:vAlign w:val="center"/>
          </w:tcPr>
          <w:p w14:paraId="13D307B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89</w:t>
            </w:r>
          </w:p>
        </w:tc>
        <w:tc>
          <w:tcPr>
            <w:tcW w:w="577" w:type="dxa"/>
            <w:shd w:val="clear" w:color="auto" w:fill="auto"/>
            <w:tcMar>
              <w:left w:w="108" w:type="dxa"/>
              <w:right w:w="108" w:type="dxa"/>
            </w:tcMar>
            <w:vAlign w:val="center"/>
          </w:tcPr>
          <w:p w14:paraId="0C802C9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w:t>
            </w:r>
          </w:p>
        </w:tc>
        <w:tc>
          <w:tcPr>
            <w:tcW w:w="593" w:type="dxa"/>
            <w:shd w:val="clear" w:color="auto" w:fill="auto"/>
            <w:tcMar>
              <w:left w:w="108" w:type="dxa"/>
              <w:right w:w="108" w:type="dxa"/>
            </w:tcMar>
            <w:vAlign w:val="center"/>
          </w:tcPr>
          <w:p w14:paraId="3F5873E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231A794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168994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40A8260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79F08DD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93</w:t>
            </w:r>
          </w:p>
        </w:tc>
      </w:tr>
      <w:tr w14:paraId="5DF2D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0E24DF2A">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32CA626F">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5C727666">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kern w:val="0"/>
                <w:sz w:val="24"/>
                <w:szCs w:val="24"/>
              </w:rPr>
            </w:pPr>
            <w:r>
              <w:rPr>
                <w:rFonts w:hint="eastAsia" w:ascii="仿宋_GB2312" w:hAnsi="黑体" w:eastAsia="仿宋_GB2312"/>
                <w:kern w:val="0"/>
                <w:sz w:val="24"/>
                <w:szCs w:val="24"/>
              </w:rPr>
              <w:t>2.重复申请</w:t>
            </w:r>
          </w:p>
        </w:tc>
        <w:tc>
          <w:tcPr>
            <w:tcW w:w="908" w:type="dxa"/>
            <w:shd w:val="clear" w:color="auto" w:fill="auto"/>
            <w:tcMar>
              <w:left w:w="108" w:type="dxa"/>
              <w:right w:w="108" w:type="dxa"/>
            </w:tcMar>
            <w:vAlign w:val="center"/>
          </w:tcPr>
          <w:p w14:paraId="387451A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112</w:t>
            </w:r>
          </w:p>
        </w:tc>
        <w:tc>
          <w:tcPr>
            <w:tcW w:w="577" w:type="dxa"/>
            <w:shd w:val="clear" w:color="auto" w:fill="auto"/>
            <w:tcMar>
              <w:left w:w="108" w:type="dxa"/>
              <w:right w:w="108" w:type="dxa"/>
            </w:tcMar>
            <w:vAlign w:val="center"/>
          </w:tcPr>
          <w:p w14:paraId="28D1B03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3</w:t>
            </w:r>
          </w:p>
        </w:tc>
        <w:tc>
          <w:tcPr>
            <w:tcW w:w="593" w:type="dxa"/>
            <w:shd w:val="clear" w:color="auto" w:fill="auto"/>
            <w:tcMar>
              <w:left w:w="108" w:type="dxa"/>
              <w:right w:w="108" w:type="dxa"/>
            </w:tcMar>
            <w:vAlign w:val="center"/>
          </w:tcPr>
          <w:p w14:paraId="57934F2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45E4A5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1B25607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6CD549D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851" w:type="dxa"/>
            <w:shd w:val="clear" w:color="auto" w:fill="auto"/>
            <w:tcMar>
              <w:left w:w="108" w:type="dxa"/>
              <w:right w:w="108" w:type="dxa"/>
            </w:tcMar>
            <w:vAlign w:val="center"/>
          </w:tcPr>
          <w:p w14:paraId="713E105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116</w:t>
            </w:r>
          </w:p>
        </w:tc>
      </w:tr>
      <w:tr w14:paraId="569FF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67C908B1">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08ACA05F">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083F7940">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sz w:val="24"/>
                <w:szCs w:val="24"/>
              </w:rPr>
            </w:pPr>
            <w:r>
              <w:rPr>
                <w:rFonts w:hint="eastAsia" w:ascii="仿宋_GB2312" w:hAnsi="黑体" w:eastAsia="仿宋_GB2312"/>
                <w:kern w:val="0"/>
                <w:sz w:val="24"/>
                <w:szCs w:val="24"/>
              </w:rPr>
              <w:t>3.要求提供公开出版物</w:t>
            </w:r>
          </w:p>
        </w:tc>
        <w:tc>
          <w:tcPr>
            <w:tcW w:w="908" w:type="dxa"/>
            <w:shd w:val="clear" w:color="auto" w:fill="auto"/>
            <w:tcMar>
              <w:left w:w="108" w:type="dxa"/>
              <w:right w:w="108" w:type="dxa"/>
            </w:tcMar>
            <w:vAlign w:val="center"/>
          </w:tcPr>
          <w:p w14:paraId="6FE67A5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c>
          <w:tcPr>
            <w:tcW w:w="577" w:type="dxa"/>
            <w:shd w:val="clear" w:color="auto" w:fill="auto"/>
            <w:tcMar>
              <w:left w:w="108" w:type="dxa"/>
              <w:right w:w="108" w:type="dxa"/>
            </w:tcMar>
            <w:vAlign w:val="center"/>
          </w:tcPr>
          <w:p w14:paraId="4CD65D6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53DD701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3E4C361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367CB4A4">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6AB8EE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4A91425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w:t>
            </w:r>
          </w:p>
        </w:tc>
      </w:tr>
      <w:tr w14:paraId="121C5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7016AE0D">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2F4837F5">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6C5955A8">
            <w:pPr>
              <w:keepNext w:val="0"/>
              <w:keepLines w:val="0"/>
              <w:pageBreakBefore w:val="0"/>
              <w:widowControl/>
              <w:kinsoku/>
              <w:wordWrap/>
              <w:overflowPunct/>
              <w:topLinePunct w:val="0"/>
              <w:autoSpaceDE/>
              <w:autoSpaceDN/>
              <w:bidi w:val="0"/>
              <w:adjustRightInd/>
              <w:snapToGrid/>
              <w:spacing w:line="400" w:lineRule="atLeast"/>
              <w:textAlignment w:val="auto"/>
              <w:rPr>
                <w:rFonts w:ascii="仿宋_GB2312" w:hAnsi="黑体" w:eastAsia="仿宋_GB2312"/>
                <w:sz w:val="24"/>
                <w:szCs w:val="24"/>
              </w:rPr>
            </w:pPr>
            <w:r>
              <w:rPr>
                <w:rFonts w:hint="eastAsia" w:ascii="仿宋_GB2312" w:hAnsi="黑体" w:eastAsia="仿宋_GB2312"/>
                <w:kern w:val="0"/>
                <w:sz w:val="24"/>
                <w:szCs w:val="24"/>
              </w:rPr>
              <w:t>4.无正当理由大量反复申请</w:t>
            </w:r>
          </w:p>
        </w:tc>
        <w:tc>
          <w:tcPr>
            <w:tcW w:w="908" w:type="dxa"/>
            <w:shd w:val="clear" w:color="auto" w:fill="auto"/>
            <w:tcMar>
              <w:left w:w="108" w:type="dxa"/>
              <w:right w:w="108" w:type="dxa"/>
            </w:tcMar>
            <w:vAlign w:val="center"/>
          </w:tcPr>
          <w:p w14:paraId="5AEC9B4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77" w:type="dxa"/>
            <w:shd w:val="clear" w:color="auto" w:fill="auto"/>
            <w:tcMar>
              <w:left w:w="108" w:type="dxa"/>
              <w:right w:w="108" w:type="dxa"/>
            </w:tcMar>
            <w:vAlign w:val="center"/>
          </w:tcPr>
          <w:p w14:paraId="2F8783B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3802A257">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7A26A05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3D9E0A9F">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2A25815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6B39CE4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r>
      <w:tr w14:paraId="45D35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383BF816">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39FAC3FA">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2BC7D920">
            <w:pPr>
              <w:keepNext w:val="0"/>
              <w:keepLines w:val="0"/>
              <w:pageBreakBefore w:val="0"/>
              <w:widowControl/>
              <w:kinsoku/>
              <w:wordWrap/>
              <w:overflowPunct/>
              <w:topLinePunct w:val="0"/>
              <w:autoSpaceDE/>
              <w:autoSpaceDN/>
              <w:bidi w:val="0"/>
              <w:adjustRightInd/>
              <w:snapToGrid/>
              <w:spacing w:line="400" w:lineRule="atLeast"/>
              <w:textAlignment w:val="auto"/>
              <w:rPr>
                <w:rFonts w:hint="eastAsia" w:ascii="仿宋_GB2312" w:hAnsi="黑体" w:eastAsia="仿宋_GB2312"/>
                <w:kern w:val="0"/>
                <w:sz w:val="24"/>
                <w:szCs w:val="24"/>
              </w:rPr>
            </w:pPr>
            <w:r>
              <w:rPr>
                <w:rFonts w:hint="eastAsia" w:ascii="仿宋_GB2312" w:hAnsi="黑体" w:eastAsia="仿宋_GB2312"/>
                <w:kern w:val="0"/>
                <w:sz w:val="24"/>
                <w:szCs w:val="24"/>
              </w:rPr>
              <w:t>5.要求行政机关确认或重新出具已获取信息</w:t>
            </w:r>
          </w:p>
        </w:tc>
        <w:tc>
          <w:tcPr>
            <w:tcW w:w="908" w:type="dxa"/>
            <w:shd w:val="clear" w:color="auto" w:fill="auto"/>
            <w:tcMar>
              <w:left w:w="108" w:type="dxa"/>
              <w:right w:w="108" w:type="dxa"/>
            </w:tcMar>
            <w:vAlign w:val="center"/>
          </w:tcPr>
          <w:p w14:paraId="557B1A7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77" w:type="dxa"/>
            <w:shd w:val="clear" w:color="auto" w:fill="auto"/>
            <w:tcMar>
              <w:left w:w="108" w:type="dxa"/>
              <w:right w:w="108" w:type="dxa"/>
            </w:tcMar>
            <w:vAlign w:val="center"/>
          </w:tcPr>
          <w:p w14:paraId="2B4B932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1E34E9E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100761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9903D2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21A9FFD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7533220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r>
      <w:tr w14:paraId="02E33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458FADC9">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restart"/>
            <w:shd w:val="clear" w:color="auto" w:fill="auto"/>
            <w:tcMar>
              <w:left w:w="108" w:type="dxa"/>
              <w:right w:w="108" w:type="dxa"/>
            </w:tcMar>
            <w:vAlign w:val="center"/>
          </w:tcPr>
          <w:p w14:paraId="20765A27">
            <w:pPr>
              <w:keepNext w:val="0"/>
              <w:keepLines w:val="0"/>
              <w:pageBreakBefore w:val="0"/>
              <w:widowControl/>
              <w:kinsoku/>
              <w:wordWrap/>
              <w:overflowPunct/>
              <w:topLinePunct w:val="0"/>
              <w:autoSpaceDE/>
              <w:autoSpaceDN/>
              <w:bidi w:val="0"/>
              <w:adjustRightInd/>
              <w:snapToGrid/>
              <w:spacing w:line="400" w:lineRule="atLeast"/>
              <w:ind w:left="-107" w:leftChars="-51"/>
              <w:textAlignment w:val="auto"/>
              <w:rPr>
                <w:rFonts w:ascii="黑体" w:hAnsi="黑体" w:eastAsia="黑体"/>
                <w:sz w:val="24"/>
                <w:szCs w:val="24"/>
              </w:rPr>
            </w:pPr>
            <w:r>
              <w:rPr>
                <w:rFonts w:hint="eastAsia" w:ascii="黑体" w:hAnsi="黑体" w:eastAsia="黑体"/>
                <w:kern w:val="0"/>
                <w:sz w:val="24"/>
                <w:szCs w:val="24"/>
              </w:rPr>
              <w:t>（六）其他处理</w:t>
            </w:r>
          </w:p>
        </w:tc>
        <w:tc>
          <w:tcPr>
            <w:tcW w:w="3403" w:type="dxa"/>
            <w:shd w:val="clear" w:color="auto" w:fill="auto"/>
            <w:tcMar>
              <w:left w:w="108" w:type="dxa"/>
              <w:right w:w="108" w:type="dxa"/>
            </w:tcMar>
            <w:vAlign w:val="center"/>
          </w:tcPr>
          <w:p w14:paraId="0C21F698">
            <w:pPr>
              <w:keepNext w:val="0"/>
              <w:keepLines w:val="0"/>
              <w:pageBreakBefore w:val="0"/>
              <w:widowControl/>
              <w:kinsoku/>
              <w:wordWrap/>
              <w:overflowPunct/>
              <w:topLinePunct w:val="0"/>
              <w:autoSpaceDE/>
              <w:autoSpaceDN/>
              <w:bidi w:val="0"/>
              <w:adjustRightInd/>
              <w:snapToGrid/>
              <w:spacing w:line="400" w:lineRule="atLeast"/>
              <w:textAlignment w:val="auto"/>
              <w:rPr>
                <w:rFonts w:hint="eastAsia" w:ascii="仿宋_GB2312" w:hAnsi="黑体" w:eastAsia="仿宋_GB2312"/>
                <w:kern w:val="0"/>
                <w:sz w:val="24"/>
                <w:szCs w:val="24"/>
              </w:rPr>
            </w:pPr>
            <w:r>
              <w:rPr>
                <w:rFonts w:hint="eastAsia" w:ascii="仿宋_GB2312" w:hAnsi="黑体" w:eastAsia="仿宋_GB2312"/>
                <w:kern w:val="0"/>
                <w:sz w:val="24"/>
                <w:szCs w:val="24"/>
              </w:rPr>
              <w:t>1.申请人无正当理由逾期不补正、行政机关不再处理其政府信息公开申请</w:t>
            </w:r>
          </w:p>
        </w:tc>
        <w:tc>
          <w:tcPr>
            <w:tcW w:w="908" w:type="dxa"/>
            <w:shd w:val="clear" w:color="auto" w:fill="auto"/>
            <w:tcMar>
              <w:left w:w="108" w:type="dxa"/>
              <w:right w:w="108" w:type="dxa"/>
            </w:tcMar>
            <w:vAlign w:val="center"/>
          </w:tcPr>
          <w:p w14:paraId="75F77D8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84</w:t>
            </w:r>
          </w:p>
        </w:tc>
        <w:tc>
          <w:tcPr>
            <w:tcW w:w="577" w:type="dxa"/>
            <w:shd w:val="clear" w:color="auto" w:fill="auto"/>
            <w:tcMar>
              <w:left w:w="108" w:type="dxa"/>
              <w:right w:w="108" w:type="dxa"/>
            </w:tcMar>
            <w:vAlign w:val="center"/>
          </w:tcPr>
          <w:p w14:paraId="19CAA67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2F9A27F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7E7F3B8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75C401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55FC479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0B83E11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84</w:t>
            </w:r>
          </w:p>
        </w:tc>
      </w:tr>
      <w:tr w14:paraId="2FD73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441060B9">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15CE5C32">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046AB544">
            <w:pPr>
              <w:keepNext w:val="0"/>
              <w:keepLines w:val="0"/>
              <w:pageBreakBefore w:val="0"/>
              <w:widowControl/>
              <w:kinsoku/>
              <w:wordWrap/>
              <w:overflowPunct/>
              <w:topLinePunct w:val="0"/>
              <w:autoSpaceDE/>
              <w:autoSpaceDN/>
              <w:bidi w:val="0"/>
              <w:adjustRightInd/>
              <w:snapToGrid/>
              <w:spacing w:line="400" w:lineRule="atLeast"/>
              <w:textAlignment w:val="auto"/>
              <w:rPr>
                <w:rFonts w:hint="eastAsia" w:ascii="仿宋_GB2312" w:hAnsi="黑体" w:eastAsia="仿宋_GB2312"/>
                <w:kern w:val="0"/>
                <w:sz w:val="24"/>
                <w:szCs w:val="24"/>
              </w:rPr>
            </w:pPr>
            <w:r>
              <w:rPr>
                <w:rFonts w:hint="eastAsia" w:ascii="仿宋_GB2312" w:hAnsi="黑体" w:eastAsia="仿宋_GB2312"/>
                <w:kern w:val="0"/>
                <w:sz w:val="24"/>
                <w:szCs w:val="24"/>
              </w:rPr>
              <w:t>2.申请人逾期未按收费通知要求缴纳费用、行政机关不再处理其政府信息公开申请</w:t>
            </w:r>
          </w:p>
        </w:tc>
        <w:tc>
          <w:tcPr>
            <w:tcW w:w="908" w:type="dxa"/>
            <w:shd w:val="clear" w:color="auto" w:fill="auto"/>
            <w:tcMar>
              <w:left w:w="108" w:type="dxa"/>
              <w:right w:w="108" w:type="dxa"/>
            </w:tcMar>
            <w:vAlign w:val="center"/>
          </w:tcPr>
          <w:p w14:paraId="11B2C6C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77" w:type="dxa"/>
            <w:shd w:val="clear" w:color="auto" w:fill="auto"/>
            <w:tcMar>
              <w:left w:w="108" w:type="dxa"/>
              <w:right w:w="108" w:type="dxa"/>
            </w:tcMar>
            <w:vAlign w:val="center"/>
          </w:tcPr>
          <w:p w14:paraId="3516F28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93" w:type="dxa"/>
            <w:shd w:val="clear" w:color="auto" w:fill="auto"/>
            <w:tcMar>
              <w:left w:w="108" w:type="dxa"/>
              <w:right w:w="108" w:type="dxa"/>
            </w:tcMar>
            <w:vAlign w:val="center"/>
          </w:tcPr>
          <w:p w14:paraId="3F474BF2">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731FAB5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0269FB4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D2910A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4C73CCE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r>
      <w:tr w14:paraId="77C64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611D412F">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1052" w:type="dxa"/>
            <w:vMerge w:val="continue"/>
            <w:shd w:val="clear" w:color="auto" w:fill="auto"/>
            <w:tcMar>
              <w:left w:w="108" w:type="dxa"/>
              <w:right w:w="108" w:type="dxa"/>
            </w:tcMar>
            <w:vAlign w:val="center"/>
          </w:tcPr>
          <w:p w14:paraId="47C880A0">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3403" w:type="dxa"/>
            <w:shd w:val="clear" w:color="auto" w:fill="auto"/>
            <w:tcMar>
              <w:left w:w="108" w:type="dxa"/>
              <w:right w:w="108" w:type="dxa"/>
            </w:tcMar>
            <w:vAlign w:val="center"/>
          </w:tcPr>
          <w:p w14:paraId="0704BE14">
            <w:pPr>
              <w:keepNext w:val="0"/>
              <w:keepLines w:val="0"/>
              <w:pageBreakBefore w:val="0"/>
              <w:widowControl/>
              <w:kinsoku/>
              <w:wordWrap/>
              <w:overflowPunct/>
              <w:topLinePunct w:val="0"/>
              <w:autoSpaceDE/>
              <w:autoSpaceDN/>
              <w:bidi w:val="0"/>
              <w:adjustRightInd/>
              <w:snapToGrid/>
              <w:spacing w:line="400" w:lineRule="atLeast"/>
              <w:textAlignment w:val="auto"/>
              <w:rPr>
                <w:rFonts w:hint="eastAsia" w:ascii="仿宋_GB2312" w:hAnsi="黑体" w:eastAsia="仿宋_GB2312"/>
                <w:kern w:val="0"/>
                <w:sz w:val="24"/>
                <w:szCs w:val="24"/>
              </w:rPr>
            </w:pPr>
            <w:r>
              <w:rPr>
                <w:rFonts w:hint="eastAsia" w:ascii="仿宋_GB2312" w:hAnsi="黑体" w:eastAsia="仿宋_GB2312"/>
                <w:kern w:val="0"/>
                <w:sz w:val="24"/>
                <w:szCs w:val="24"/>
              </w:rPr>
              <w:t>3.其他</w:t>
            </w:r>
          </w:p>
        </w:tc>
        <w:tc>
          <w:tcPr>
            <w:tcW w:w="908" w:type="dxa"/>
            <w:shd w:val="clear" w:color="auto" w:fill="auto"/>
            <w:tcMar>
              <w:left w:w="108" w:type="dxa"/>
              <w:right w:w="108" w:type="dxa"/>
            </w:tcMar>
            <w:vAlign w:val="center"/>
          </w:tcPr>
          <w:p w14:paraId="3E95396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287</w:t>
            </w:r>
          </w:p>
        </w:tc>
        <w:tc>
          <w:tcPr>
            <w:tcW w:w="577" w:type="dxa"/>
            <w:shd w:val="clear" w:color="auto" w:fill="auto"/>
            <w:tcMar>
              <w:left w:w="108" w:type="dxa"/>
              <w:right w:w="108" w:type="dxa"/>
            </w:tcMar>
            <w:vAlign w:val="center"/>
          </w:tcPr>
          <w:p w14:paraId="4698B2D8">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6</w:t>
            </w:r>
          </w:p>
        </w:tc>
        <w:tc>
          <w:tcPr>
            <w:tcW w:w="593" w:type="dxa"/>
            <w:shd w:val="clear" w:color="auto" w:fill="auto"/>
            <w:tcMar>
              <w:left w:w="108" w:type="dxa"/>
              <w:right w:w="108" w:type="dxa"/>
            </w:tcMar>
            <w:vAlign w:val="center"/>
          </w:tcPr>
          <w:p w14:paraId="7A2FF2AB">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59F8240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708" w:type="dxa"/>
            <w:shd w:val="clear" w:color="auto" w:fill="auto"/>
            <w:tcMar>
              <w:left w:w="108" w:type="dxa"/>
              <w:right w:w="108" w:type="dxa"/>
            </w:tcMar>
            <w:vAlign w:val="center"/>
          </w:tcPr>
          <w:p w14:paraId="4E0BC18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73CB809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728254D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293</w:t>
            </w:r>
          </w:p>
        </w:tc>
      </w:tr>
      <w:tr w14:paraId="5E3FF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8" w:type="dxa"/>
            <w:vMerge w:val="continue"/>
            <w:shd w:val="clear" w:color="auto" w:fill="auto"/>
            <w:tcMar>
              <w:left w:w="108" w:type="dxa"/>
              <w:right w:w="108" w:type="dxa"/>
            </w:tcMar>
            <w:vAlign w:val="center"/>
          </w:tcPr>
          <w:p w14:paraId="1DA33465">
            <w:pPr>
              <w:keepNext w:val="0"/>
              <w:keepLines w:val="0"/>
              <w:pageBreakBefore w:val="0"/>
              <w:kinsoku/>
              <w:wordWrap/>
              <w:overflowPunct/>
              <w:topLinePunct w:val="0"/>
              <w:autoSpaceDE/>
              <w:autoSpaceDN/>
              <w:bidi w:val="0"/>
              <w:adjustRightInd/>
              <w:snapToGrid/>
              <w:spacing w:line="400" w:lineRule="atLeast"/>
              <w:textAlignment w:val="auto"/>
              <w:rPr>
                <w:rFonts w:ascii="黑体" w:hAnsi="黑体" w:eastAsia="黑体"/>
                <w:sz w:val="24"/>
                <w:szCs w:val="24"/>
              </w:rPr>
            </w:pPr>
          </w:p>
        </w:tc>
        <w:tc>
          <w:tcPr>
            <w:tcW w:w="4455" w:type="dxa"/>
            <w:gridSpan w:val="2"/>
            <w:shd w:val="clear" w:color="auto" w:fill="auto"/>
            <w:tcMar>
              <w:left w:w="108" w:type="dxa"/>
              <w:right w:w="108" w:type="dxa"/>
            </w:tcMar>
            <w:vAlign w:val="center"/>
          </w:tcPr>
          <w:p w14:paraId="74CABC2A">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kern w:val="0"/>
                <w:sz w:val="24"/>
                <w:szCs w:val="24"/>
              </w:rPr>
            </w:pPr>
            <w:r>
              <w:rPr>
                <w:rFonts w:hint="eastAsia" w:ascii="黑体" w:hAnsi="黑体" w:eastAsia="黑体"/>
                <w:kern w:val="0"/>
                <w:sz w:val="24"/>
                <w:szCs w:val="24"/>
              </w:rPr>
              <w:t>（七）总计</w:t>
            </w:r>
          </w:p>
        </w:tc>
        <w:tc>
          <w:tcPr>
            <w:tcW w:w="908" w:type="dxa"/>
            <w:shd w:val="clear" w:color="auto" w:fill="auto"/>
            <w:tcMar>
              <w:left w:w="108" w:type="dxa"/>
              <w:right w:w="108" w:type="dxa"/>
            </w:tcMar>
            <w:vAlign w:val="center"/>
          </w:tcPr>
          <w:p w14:paraId="660A330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10757</w:t>
            </w:r>
          </w:p>
        </w:tc>
        <w:tc>
          <w:tcPr>
            <w:tcW w:w="577" w:type="dxa"/>
            <w:shd w:val="clear" w:color="auto" w:fill="auto"/>
            <w:tcMar>
              <w:left w:w="108" w:type="dxa"/>
              <w:right w:w="108" w:type="dxa"/>
            </w:tcMar>
            <w:vAlign w:val="center"/>
          </w:tcPr>
          <w:p w14:paraId="336C434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251</w:t>
            </w:r>
          </w:p>
        </w:tc>
        <w:tc>
          <w:tcPr>
            <w:tcW w:w="593" w:type="dxa"/>
            <w:shd w:val="clear" w:color="auto" w:fill="auto"/>
            <w:tcMar>
              <w:left w:w="108" w:type="dxa"/>
              <w:right w:w="108" w:type="dxa"/>
            </w:tcMar>
            <w:vAlign w:val="center"/>
          </w:tcPr>
          <w:p w14:paraId="7820968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606" w:type="dxa"/>
            <w:shd w:val="clear" w:color="auto" w:fill="auto"/>
            <w:tcMar>
              <w:left w:w="108" w:type="dxa"/>
              <w:right w:w="108" w:type="dxa"/>
            </w:tcMar>
            <w:vAlign w:val="center"/>
          </w:tcPr>
          <w:p w14:paraId="49FB7AE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26</w:t>
            </w:r>
          </w:p>
        </w:tc>
        <w:tc>
          <w:tcPr>
            <w:tcW w:w="708" w:type="dxa"/>
            <w:shd w:val="clear" w:color="auto" w:fill="auto"/>
            <w:tcMar>
              <w:left w:w="108" w:type="dxa"/>
              <w:right w:w="108" w:type="dxa"/>
            </w:tcMar>
            <w:vAlign w:val="center"/>
          </w:tcPr>
          <w:p w14:paraId="7A05B5E6">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5</w:t>
            </w:r>
          </w:p>
        </w:tc>
        <w:tc>
          <w:tcPr>
            <w:tcW w:w="567" w:type="dxa"/>
            <w:shd w:val="clear" w:color="auto" w:fill="auto"/>
            <w:tcMar>
              <w:left w:w="108" w:type="dxa"/>
              <w:right w:w="108" w:type="dxa"/>
            </w:tcMar>
            <w:vAlign w:val="center"/>
          </w:tcPr>
          <w:p w14:paraId="0DB3023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19</w:t>
            </w:r>
          </w:p>
        </w:tc>
        <w:tc>
          <w:tcPr>
            <w:tcW w:w="851" w:type="dxa"/>
            <w:shd w:val="clear" w:color="auto" w:fill="auto"/>
            <w:tcMar>
              <w:left w:w="108" w:type="dxa"/>
              <w:right w:w="108" w:type="dxa"/>
            </w:tcMar>
            <w:vAlign w:val="center"/>
          </w:tcPr>
          <w:p w14:paraId="142FD35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default"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11063</w:t>
            </w:r>
          </w:p>
        </w:tc>
      </w:tr>
      <w:tr w14:paraId="186D2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103" w:type="dxa"/>
            <w:gridSpan w:val="3"/>
            <w:shd w:val="clear" w:color="auto" w:fill="auto"/>
            <w:tcMar>
              <w:left w:w="108" w:type="dxa"/>
              <w:right w:w="108" w:type="dxa"/>
            </w:tcMar>
            <w:vAlign w:val="center"/>
          </w:tcPr>
          <w:p w14:paraId="36247A6F">
            <w:pPr>
              <w:keepNext w:val="0"/>
              <w:keepLines w:val="0"/>
              <w:pageBreakBefore w:val="0"/>
              <w:widowControl/>
              <w:kinsoku/>
              <w:wordWrap/>
              <w:overflowPunct/>
              <w:topLinePunct w:val="0"/>
              <w:autoSpaceDE/>
              <w:autoSpaceDN/>
              <w:bidi w:val="0"/>
              <w:adjustRightInd/>
              <w:snapToGrid/>
              <w:spacing w:line="400" w:lineRule="atLeast"/>
              <w:textAlignment w:val="auto"/>
              <w:rPr>
                <w:rFonts w:ascii="黑体" w:hAnsi="黑体" w:eastAsia="黑体"/>
                <w:kern w:val="0"/>
                <w:sz w:val="24"/>
                <w:szCs w:val="24"/>
              </w:rPr>
            </w:pPr>
            <w:r>
              <w:rPr>
                <w:rFonts w:hint="eastAsia" w:ascii="黑体" w:hAnsi="黑体" w:eastAsia="黑体"/>
                <w:kern w:val="0"/>
                <w:sz w:val="24"/>
                <w:szCs w:val="24"/>
              </w:rPr>
              <w:t>四、结转下年度继续办理</w:t>
            </w:r>
          </w:p>
        </w:tc>
        <w:tc>
          <w:tcPr>
            <w:tcW w:w="908" w:type="dxa"/>
            <w:shd w:val="clear" w:color="auto" w:fill="auto"/>
            <w:tcMar>
              <w:left w:w="108" w:type="dxa"/>
              <w:right w:w="108" w:type="dxa"/>
            </w:tcMar>
            <w:vAlign w:val="center"/>
          </w:tcPr>
          <w:p w14:paraId="7610DBEC">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433</w:t>
            </w:r>
          </w:p>
        </w:tc>
        <w:tc>
          <w:tcPr>
            <w:tcW w:w="577" w:type="dxa"/>
            <w:shd w:val="clear" w:color="auto" w:fill="auto"/>
            <w:tcMar>
              <w:left w:w="108" w:type="dxa"/>
              <w:right w:w="108" w:type="dxa"/>
            </w:tcMar>
            <w:vAlign w:val="center"/>
          </w:tcPr>
          <w:p w14:paraId="0B643DA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6</w:t>
            </w:r>
          </w:p>
        </w:tc>
        <w:tc>
          <w:tcPr>
            <w:tcW w:w="593" w:type="dxa"/>
            <w:shd w:val="clear" w:color="auto" w:fill="auto"/>
            <w:tcMar>
              <w:left w:w="108" w:type="dxa"/>
              <w:right w:w="108" w:type="dxa"/>
            </w:tcMar>
            <w:vAlign w:val="center"/>
          </w:tcPr>
          <w:p w14:paraId="73312E59">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606" w:type="dxa"/>
            <w:shd w:val="clear" w:color="auto" w:fill="auto"/>
            <w:tcMar>
              <w:left w:w="108" w:type="dxa"/>
              <w:right w:w="108" w:type="dxa"/>
            </w:tcMar>
            <w:vAlign w:val="center"/>
          </w:tcPr>
          <w:p w14:paraId="7D0873CD">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2</w:t>
            </w:r>
          </w:p>
        </w:tc>
        <w:tc>
          <w:tcPr>
            <w:tcW w:w="708" w:type="dxa"/>
            <w:shd w:val="clear" w:color="auto" w:fill="auto"/>
            <w:tcMar>
              <w:left w:w="108" w:type="dxa"/>
              <w:right w:w="108" w:type="dxa"/>
            </w:tcMar>
            <w:vAlign w:val="center"/>
          </w:tcPr>
          <w:p w14:paraId="57F1A08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567" w:type="dxa"/>
            <w:shd w:val="clear" w:color="auto" w:fill="auto"/>
            <w:tcMar>
              <w:left w:w="108" w:type="dxa"/>
              <w:right w:w="108" w:type="dxa"/>
            </w:tcMar>
            <w:vAlign w:val="center"/>
          </w:tcPr>
          <w:p w14:paraId="33B8FA8A">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0</w:t>
            </w:r>
          </w:p>
        </w:tc>
        <w:tc>
          <w:tcPr>
            <w:tcW w:w="851" w:type="dxa"/>
            <w:shd w:val="clear" w:color="auto" w:fill="auto"/>
            <w:tcMar>
              <w:left w:w="108" w:type="dxa"/>
              <w:right w:w="108" w:type="dxa"/>
            </w:tcMar>
            <w:vAlign w:val="center"/>
          </w:tcPr>
          <w:p w14:paraId="45764141">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441</w:t>
            </w:r>
          </w:p>
        </w:tc>
      </w:tr>
    </w:tbl>
    <w:p w14:paraId="728E392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四、政府信息公开行政复议、行政诉讼情况</w:t>
      </w:r>
    </w:p>
    <w:tbl>
      <w:tblPr>
        <w:tblStyle w:val="10"/>
        <w:tblW w:w="9902" w:type="dxa"/>
        <w:jc w:val="center"/>
        <w:tblLayout w:type="autofit"/>
        <w:tblCellMar>
          <w:top w:w="0" w:type="dxa"/>
          <w:left w:w="0" w:type="dxa"/>
          <w:bottom w:w="0" w:type="dxa"/>
          <w:right w:w="0" w:type="dxa"/>
        </w:tblCellMar>
      </w:tblPr>
      <w:tblGrid>
        <w:gridCol w:w="717"/>
        <w:gridCol w:w="639"/>
        <w:gridCol w:w="639"/>
        <w:gridCol w:w="639"/>
        <w:gridCol w:w="717"/>
        <w:gridCol w:w="639"/>
        <w:gridCol w:w="639"/>
        <w:gridCol w:w="639"/>
        <w:gridCol w:w="639"/>
        <w:gridCol w:w="639"/>
        <w:gridCol w:w="718"/>
        <w:gridCol w:w="640"/>
        <w:gridCol w:w="640"/>
        <w:gridCol w:w="640"/>
        <w:gridCol w:w="718"/>
      </w:tblGrid>
      <w:tr w14:paraId="774AC788">
        <w:tblPrEx>
          <w:tblCellMar>
            <w:top w:w="0" w:type="dxa"/>
            <w:left w:w="0" w:type="dxa"/>
            <w:bottom w:w="0" w:type="dxa"/>
            <w:right w:w="0" w:type="dxa"/>
          </w:tblCellMar>
        </w:tblPrEx>
        <w:trPr>
          <w:jc w:val="center"/>
        </w:trPr>
        <w:tc>
          <w:tcPr>
            <w:tcW w:w="567"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DBA2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行政复议</w:t>
            </w:r>
          </w:p>
        </w:tc>
        <w:tc>
          <w:tcPr>
            <w:tcW w:w="567" w:type="dxa"/>
            <w:gridSpan w:val="10"/>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9B63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行政诉讼</w:t>
            </w:r>
          </w:p>
        </w:tc>
      </w:tr>
      <w:tr w14:paraId="6EC89055">
        <w:tblPrEx>
          <w:tblCellMar>
            <w:top w:w="0" w:type="dxa"/>
            <w:left w:w="0" w:type="dxa"/>
            <w:bottom w:w="0" w:type="dxa"/>
            <w:right w:w="0" w:type="dxa"/>
          </w:tblCellMar>
        </w:tblPrEx>
        <w:trPr>
          <w:jc w:val="center"/>
        </w:trPr>
        <w:tc>
          <w:tcPr>
            <w:tcW w:w="56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AB8D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结果维持</w:t>
            </w:r>
          </w:p>
        </w:tc>
        <w:tc>
          <w:tcPr>
            <w:tcW w:w="56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29D4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56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ADE2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其他</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结果</w:t>
            </w:r>
          </w:p>
        </w:tc>
        <w:tc>
          <w:tcPr>
            <w:tcW w:w="56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B3E6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56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6AFD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总计</w:t>
            </w:r>
          </w:p>
        </w:tc>
        <w:tc>
          <w:tcPr>
            <w:tcW w:w="567"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4F42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未经复议直接起诉</w:t>
            </w:r>
          </w:p>
        </w:tc>
        <w:tc>
          <w:tcPr>
            <w:tcW w:w="567"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3D7A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复议后起诉</w:t>
            </w:r>
          </w:p>
        </w:tc>
      </w:tr>
      <w:tr w14:paraId="0A04A35B">
        <w:tblPrEx>
          <w:tblCellMar>
            <w:top w:w="0" w:type="dxa"/>
            <w:left w:w="0" w:type="dxa"/>
            <w:bottom w:w="0" w:type="dxa"/>
            <w:right w:w="0" w:type="dxa"/>
          </w:tblCellMar>
        </w:tblPrEx>
        <w:trPr>
          <w:jc w:val="center"/>
        </w:trPr>
        <w:tc>
          <w:tcPr>
            <w:tcW w:w="567" w:type="dxa"/>
            <w:vMerge w:val="continue"/>
            <w:tcBorders>
              <w:top w:val="nil"/>
              <w:left w:val="single" w:color="auto" w:sz="8" w:space="0"/>
              <w:bottom w:val="single" w:color="auto" w:sz="8" w:space="0"/>
              <w:right w:val="single" w:color="auto" w:sz="8" w:space="0"/>
            </w:tcBorders>
            <w:vAlign w:val="center"/>
          </w:tcPr>
          <w:p w14:paraId="2D52859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567" w:type="dxa"/>
            <w:vMerge w:val="continue"/>
            <w:tcBorders>
              <w:top w:val="nil"/>
              <w:left w:val="single" w:color="auto" w:sz="8" w:space="0"/>
              <w:bottom w:val="single" w:color="auto" w:sz="8" w:space="0"/>
              <w:right w:val="single" w:color="auto" w:sz="8" w:space="0"/>
            </w:tcBorders>
            <w:vAlign w:val="center"/>
          </w:tcPr>
          <w:p w14:paraId="07B5E9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567" w:type="dxa"/>
            <w:vMerge w:val="continue"/>
            <w:tcBorders>
              <w:top w:val="single" w:color="auto" w:sz="8" w:space="0"/>
              <w:left w:val="single" w:color="auto" w:sz="8" w:space="0"/>
              <w:bottom w:val="single" w:color="auto" w:sz="8" w:space="0"/>
              <w:right w:val="single" w:color="auto" w:sz="8" w:space="0"/>
            </w:tcBorders>
            <w:vAlign w:val="center"/>
          </w:tcPr>
          <w:p w14:paraId="6949C33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567" w:type="dxa"/>
            <w:vMerge w:val="continue"/>
            <w:tcBorders>
              <w:top w:val="single" w:color="auto" w:sz="8" w:space="0"/>
              <w:left w:val="single" w:color="auto" w:sz="8" w:space="0"/>
              <w:bottom w:val="single" w:color="auto" w:sz="8" w:space="0"/>
              <w:right w:val="single" w:color="auto" w:sz="8" w:space="0"/>
            </w:tcBorders>
            <w:vAlign w:val="center"/>
          </w:tcPr>
          <w:p w14:paraId="4EBEE70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567" w:type="dxa"/>
            <w:vMerge w:val="continue"/>
            <w:tcBorders>
              <w:top w:val="single" w:color="auto" w:sz="8" w:space="0"/>
              <w:left w:val="single" w:color="auto" w:sz="8" w:space="0"/>
              <w:bottom w:val="single" w:color="auto" w:sz="8" w:space="0"/>
              <w:right w:val="single" w:color="auto" w:sz="8" w:space="0"/>
            </w:tcBorders>
            <w:vAlign w:val="center"/>
          </w:tcPr>
          <w:p w14:paraId="55BB2B4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F10C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维持</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E4FB2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943B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其他</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结果</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7FB7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1B11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总计</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BCF1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维持</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ACDC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5023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其他</w:t>
            </w:r>
            <w:r>
              <w:rPr>
                <w:rFonts w:hint="eastAsia" w:ascii="仿宋_GB2312" w:hAnsi="仿宋_GB2312" w:eastAsia="仿宋_GB2312" w:cs="仿宋_GB2312"/>
                <w:color w:val="000000"/>
                <w:kern w:val="0"/>
                <w:sz w:val="28"/>
                <w:szCs w:val="28"/>
              </w:rPr>
              <w:br w:type="textWrapping"/>
            </w:r>
            <w:r>
              <w:rPr>
                <w:rFonts w:hint="eastAsia" w:ascii="仿宋_GB2312" w:hAnsi="仿宋_GB2312" w:eastAsia="仿宋_GB2312" w:cs="仿宋_GB2312"/>
                <w:color w:val="000000"/>
                <w:kern w:val="0"/>
                <w:sz w:val="28"/>
                <w:szCs w:val="28"/>
              </w:rPr>
              <w:t>结果</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4D7F2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56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3FFA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总计</w:t>
            </w:r>
          </w:p>
        </w:tc>
      </w:tr>
      <w:tr w14:paraId="05A0C5DE">
        <w:tblPrEx>
          <w:tblCellMar>
            <w:top w:w="0" w:type="dxa"/>
            <w:left w:w="0" w:type="dxa"/>
            <w:bottom w:w="0" w:type="dxa"/>
            <w:right w:w="0" w:type="dxa"/>
          </w:tblCellMar>
        </w:tblPrEx>
        <w:trPr>
          <w:trHeight w:val="672" w:hRule="atLeast"/>
          <w:jc w:val="center"/>
        </w:trPr>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93CD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323</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FFFD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43</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2190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67</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DD9D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51</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8AA9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484</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32CD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43</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738C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04E40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12</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8067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10</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C6BD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65</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3825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109</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CEAB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1115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14</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E6C5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31</w:t>
            </w:r>
          </w:p>
        </w:tc>
        <w:tc>
          <w:tcPr>
            <w:tcW w:w="56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D2CF5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156</w:t>
            </w:r>
          </w:p>
        </w:tc>
      </w:tr>
    </w:tbl>
    <w:p w14:paraId="03C5B5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五、存在的主要问题及改进情况</w:t>
      </w:r>
    </w:p>
    <w:p w14:paraId="35E19B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szCs w:val="32"/>
        </w:rPr>
      </w:pPr>
      <w:r>
        <w:rPr>
          <w:rFonts w:hint="eastAsia" w:ascii="楷体_GB2312" w:hAnsi="楷体_GB2312" w:eastAsia="楷体_GB2312" w:cs="楷体_GB2312"/>
          <w:sz w:val="32"/>
          <w:szCs w:val="32"/>
        </w:rPr>
        <w:t>（一）存在的主要问题</w:t>
      </w:r>
    </w:p>
    <w:p w14:paraId="04B453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一是</w:t>
      </w:r>
      <w:r>
        <w:rPr>
          <w:rFonts w:hint="eastAsia" w:ascii="Times New Roman" w:hAnsi="Times New Roman" w:eastAsia="仿宋_GB2312"/>
          <w:sz w:val="32"/>
          <w:szCs w:val="32"/>
        </w:rPr>
        <w:t>基层政务公开队伍建设有待进一步加强</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业务能力和专业素质有待提高</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二</w:t>
      </w:r>
      <w:r>
        <w:rPr>
          <w:rFonts w:hint="eastAsia" w:ascii="Times New Roman" w:hAnsi="Times New Roman" w:eastAsia="仿宋_GB2312"/>
          <w:sz w:val="32"/>
          <w:szCs w:val="32"/>
        </w:rPr>
        <w:t>是</w:t>
      </w:r>
      <w:r>
        <w:rPr>
          <w:rFonts w:hint="eastAsia" w:ascii="Times New Roman" w:hAnsi="Times New Roman" w:eastAsia="仿宋_GB2312"/>
          <w:sz w:val="32"/>
          <w:szCs w:val="32"/>
          <w:lang w:val="en-US" w:eastAsia="zh-CN"/>
        </w:rPr>
        <w:t>政务公开数字化、智能化水平</w:t>
      </w:r>
      <w:r>
        <w:rPr>
          <w:rFonts w:hint="eastAsia" w:ascii="Times New Roman" w:hAnsi="Times New Roman" w:eastAsia="仿宋_GB2312"/>
          <w:sz w:val="32"/>
          <w:szCs w:val="32"/>
        </w:rPr>
        <w:t>有待</w:t>
      </w:r>
      <w:r>
        <w:rPr>
          <w:rFonts w:hint="eastAsia" w:ascii="Times New Roman" w:hAnsi="Times New Roman" w:eastAsia="仿宋_GB2312"/>
          <w:sz w:val="32"/>
          <w:szCs w:val="32"/>
          <w:lang w:val="en-US" w:eastAsia="zh-CN"/>
        </w:rPr>
        <w:t>进一步提升</w:t>
      </w:r>
      <w:r>
        <w:rPr>
          <w:rFonts w:hint="eastAsia" w:ascii="Times New Roman" w:hAnsi="Times New Roman" w:eastAsia="仿宋_GB2312"/>
          <w:sz w:val="32"/>
          <w:szCs w:val="32"/>
        </w:rPr>
        <w:t>。</w:t>
      </w:r>
    </w:p>
    <w:p w14:paraId="0387AB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sz w:val="32"/>
          <w:szCs w:val="32"/>
        </w:rPr>
      </w:pPr>
      <w:r>
        <w:rPr>
          <w:rFonts w:hint="eastAsia" w:ascii="楷体_GB2312" w:hAnsi="楷体_GB2312" w:eastAsia="楷体_GB2312" w:cs="楷体_GB2312"/>
          <w:sz w:val="32"/>
          <w:szCs w:val="32"/>
        </w:rPr>
        <w:t>（二）改进情况</w:t>
      </w:r>
    </w:p>
    <w:p w14:paraId="7983FA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
          <w:bCs/>
          <w:color w:val="0000FF"/>
          <w:sz w:val="32"/>
          <w:szCs w:val="32"/>
        </w:rPr>
      </w:pPr>
      <w:r>
        <w:rPr>
          <w:rFonts w:hint="eastAsia" w:ascii="Times New Roman" w:hAnsi="Times New Roman" w:eastAsia="仿宋_GB2312"/>
          <w:sz w:val="32"/>
          <w:szCs w:val="32"/>
          <w:lang w:val="en-US" w:eastAsia="zh-CN"/>
        </w:rPr>
        <w:t>一是常态化开展政务公开业务培训，特别是加大对一线工作人员的培训力度，重点</w:t>
      </w:r>
      <w:r>
        <w:rPr>
          <w:rFonts w:hint="eastAsia" w:ascii="Times New Roman" w:hAnsi="Times New Roman" w:eastAsia="仿宋_GB2312"/>
          <w:sz w:val="32"/>
          <w:szCs w:val="32"/>
        </w:rPr>
        <w:t>对政务公开考核</w:t>
      </w:r>
      <w:r>
        <w:rPr>
          <w:rFonts w:hint="eastAsia" w:ascii="Times New Roman" w:hAnsi="Times New Roman" w:eastAsia="仿宋_GB2312"/>
          <w:sz w:val="32"/>
          <w:szCs w:val="32"/>
          <w:lang w:val="en-US" w:eastAsia="zh-CN"/>
        </w:rPr>
        <w:t>监测</w:t>
      </w:r>
      <w:r>
        <w:rPr>
          <w:rFonts w:hint="eastAsia" w:ascii="Times New Roman" w:hAnsi="Times New Roman" w:eastAsia="仿宋_GB2312"/>
          <w:sz w:val="32"/>
          <w:szCs w:val="32"/>
        </w:rPr>
        <w:t>、主动公开事项目录编制、依申请公开</w:t>
      </w:r>
      <w:r>
        <w:rPr>
          <w:rFonts w:hint="eastAsia" w:ascii="Times New Roman" w:hAnsi="Times New Roman" w:eastAsia="仿宋_GB2312"/>
          <w:sz w:val="32"/>
          <w:szCs w:val="32"/>
          <w:lang w:val="en-US" w:eastAsia="zh-CN"/>
        </w:rPr>
        <w:t>办理</w:t>
      </w:r>
      <w:r>
        <w:rPr>
          <w:rFonts w:hint="eastAsia" w:ascii="Times New Roman" w:hAnsi="Times New Roman" w:eastAsia="仿宋_GB2312"/>
          <w:sz w:val="32"/>
          <w:szCs w:val="32"/>
        </w:rPr>
        <w:t>、政府网站和政务新媒体</w:t>
      </w:r>
      <w:r>
        <w:rPr>
          <w:rFonts w:hint="eastAsia" w:ascii="Times New Roman" w:hAnsi="Times New Roman" w:eastAsia="仿宋_GB2312"/>
          <w:sz w:val="32"/>
          <w:szCs w:val="32"/>
          <w:lang w:val="en-US" w:eastAsia="zh-CN"/>
        </w:rPr>
        <w:t>监管</w:t>
      </w:r>
      <w:r>
        <w:rPr>
          <w:rFonts w:hint="eastAsia" w:ascii="Times New Roman" w:hAnsi="Times New Roman" w:eastAsia="仿宋_GB2312"/>
          <w:sz w:val="32"/>
          <w:szCs w:val="32"/>
        </w:rPr>
        <w:t>、文件库</w:t>
      </w:r>
      <w:r>
        <w:rPr>
          <w:rFonts w:hint="eastAsia" w:ascii="Times New Roman" w:hAnsi="Times New Roman" w:eastAsia="仿宋_GB2312"/>
          <w:sz w:val="32"/>
          <w:szCs w:val="32"/>
          <w:lang w:val="en-US" w:eastAsia="zh-CN"/>
        </w:rPr>
        <w:t>管理维护</w:t>
      </w:r>
      <w:r>
        <w:rPr>
          <w:rFonts w:hint="eastAsia" w:ascii="Times New Roman" w:hAnsi="Times New Roman" w:eastAsia="仿宋_GB2312"/>
          <w:sz w:val="32"/>
          <w:szCs w:val="32"/>
        </w:rPr>
        <w:t>等</w:t>
      </w:r>
      <w:r>
        <w:rPr>
          <w:rFonts w:hint="eastAsia" w:ascii="Times New Roman" w:hAnsi="Times New Roman" w:eastAsia="仿宋_GB2312"/>
          <w:sz w:val="32"/>
          <w:szCs w:val="32"/>
          <w:lang w:val="en-US" w:eastAsia="zh-CN"/>
        </w:rPr>
        <w:t>方面</w:t>
      </w:r>
      <w:r>
        <w:rPr>
          <w:rFonts w:hint="eastAsia" w:ascii="Times New Roman" w:hAnsi="Times New Roman" w:eastAsia="仿宋_GB2312"/>
          <w:sz w:val="32"/>
          <w:szCs w:val="32"/>
        </w:rPr>
        <w:t>进行培训</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强化责任担当，补齐短板弱项</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切实提升基层政务公开工作质效。二是积极推进</w:t>
      </w:r>
      <w:r>
        <w:rPr>
          <w:rFonts w:hint="eastAsia" w:ascii="Times New Roman" w:hAnsi="Times New Roman" w:eastAsia="仿宋_GB2312"/>
          <w:sz w:val="32"/>
          <w:szCs w:val="32"/>
        </w:rPr>
        <w:t>政务公开</w:t>
      </w:r>
      <w:r>
        <w:rPr>
          <w:rFonts w:hint="eastAsia" w:ascii="Times New Roman" w:hAnsi="Times New Roman" w:eastAsia="仿宋_GB2312"/>
          <w:sz w:val="32"/>
          <w:szCs w:val="32"/>
          <w:lang w:val="en-US" w:eastAsia="zh-CN"/>
        </w:rPr>
        <w:t>数字化建设</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以集约</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智能</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高效为引领，为企业</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群众提供更加智能、</w:t>
      </w:r>
      <w:r>
        <w:rPr>
          <w:rFonts w:hint="eastAsia" w:ascii="Times New Roman" w:hAnsi="Times New Roman" w:eastAsia="仿宋_GB2312"/>
          <w:sz w:val="32"/>
          <w:szCs w:val="32"/>
          <w:lang w:val="en-US" w:eastAsia="zh-CN"/>
        </w:rPr>
        <w:t>便捷</w:t>
      </w:r>
      <w:r>
        <w:rPr>
          <w:rFonts w:hint="eastAsia" w:ascii="Times New Roman" w:hAnsi="Times New Roman" w:eastAsia="仿宋_GB2312"/>
          <w:sz w:val="32"/>
          <w:szCs w:val="32"/>
        </w:rPr>
        <w:t>的政策服务</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结合市政府网站改版升级，</w:t>
      </w:r>
      <w:r>
        <w:rPr>
          <w:rFonts w:hint="eastAsia" w:ascii="Times New Roman" w:hAnsi="Times New Roman" w:eastAsia="仿宋_GB2312"/>
          <w:sz w:val="32"/>
          <w:szCs w:val="32"/>
        </w:rPr>
        <w:t>持续优化市政府文件库，</w:t>
      </w:r>
      <w:r>
        <w:rPr>
          <w:rFonts w:hint="eastAsia" w:ascii="Times New Roman" w:hAnsi="Times New Roman" w:eastAsia="仿宋_GB2312"/>
          <w:sz w:val="32"/>
          <w:szCs w:val="32"/>
          <w:lang w:val="en-US" w:eastAsia="zh-CN"/>
        </w:rPr>
        <w:t>以养老服务、社会救助、社会保险、稳岗就业等领域为重点，进一步加强政策</w:t>
      </w:r>
      <w:r>
        <w:rPr>
          <w:rFonts w:hint="eastAsia" w:ascii="仿宋_GB2312" w:hAnsi="仿宋_GB2312" w:eastAsia="仿宋_GB2312" w:cs="仿宋_GB2312"/>
          <w:sz w:val="32"/>
          <w:szCs w:val="32"/>
          <w:lang w:eastAsia="zh-CN"/>
        </w:rPr>
        <w:t>服务场景</w:t>
      </w:r>
      <w:r>
        <w:rPr>
          <w:rFonts w:hint="eastAsia" w:ascii="仿宋_GB2312" w:hAnsi="仿宋_GB2312" w:eastAsia="仿宋_GB2312" w:cs="仿宋_GB2312"/>
          <w:sz w:val="32"/>
          <w:szCs w:val="32"/>
          <w:lang w:val="en-US" w:eastAsia="zh-CN"/>
        </w:rPr>
        <w:t>和</w:t>
      </w:r>
      <w:r>
        <w:rPr>
          <w:rFonts w:hint="eastAsia" w:ascii="Times New Roman" w:hAnsi="Times New Roman" w:eastAsia="仿宋_GB2312"/>
          <w:sz w:val="32"/>
          <w:szCs w:val="32"/>
          <w:lang w:val="en-US" w:eastAsia="zh-CN"/>
        </w:rPr>
        <w:t>专题应用场景建设，补充完善板块内容</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切实</w:t>
      </w:r>
      <w:r>
        <w:rPr>
          <w:rFonts w:hint="eastAsia" w:ascii="Times New Roman" w:hAnsi="Times New Roman" w:eastAsia="仿宋_GB2312"/>
          <w:sz w:val="32"/>
          <w:szCs w:val="32"/>
        </w:rPr>
        <w:t>提升用户体验</w:t>
      </w:r>
      <w:r>
        <w:rPr>
          <w:rFonts w:hint="eastAsia" w:ascii="Times New Roman" w:hAnsi="Times New Roman" w:eastAsia="仿宋_GB2312"/>
          <w:sz w:val="32"/>
          <w:szCs w:val="32"/>
          <w:lang w:val="en-US" w:eastAsia="zh-CN"/>
        </w:rPr>
        <w:t>。</w:t>
      </w:r>
    </w:p>
    <w:p w14:paraId="712BDA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六、其他需要报告的事项</w:t>
      </w:r>
    </w:p>
    <w:p w14:paraId="4ADF06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（一）依据《政府信息公开信息处理费管理办法》收取信息处理费的情况</w:t>
      </w:r>
    </w:p>
    <w:p w14:paraId="060EC6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根据《政府信息公开信息处理费管理办法》（国办函〔2020〕109号）规定，市政府未收取政府信息公开信息处理费。</w:t>
      </w:r>
    </w:p>
    <w:p w14:paraId="13AA68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（二）本行政机关落实上级年度政务公开工作要点情况</w:t>
      </w:r>
    </w:p>
    <w:p w14:paraId="5845A3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z w:val="32"/>
          <w:szCs w:val="32"/>
          <w:lang w:eastAsia="zh-CN"/>
        </w:rPr>
        <w:t>2025年，</w:t>
      </w:r>
      <w:r>
        <w:rPr>
          <w:rFonts w:hint="eastAsia" w:ascii="仿宋_GB2312" w:hAnsi="仿宋_GB2312" w:eastAsia="仿宋_GB2312" w:cs="仿宋_GB2312"/>
          <w:sz w:val="32"/>
          <w:szCs w:val="32"/>
          <w:lang w:val="en-US" w:eastAsia="zh-CN"/>
        </w:rPr>
        <w:t>济南市</w:t>
      </w:r>
      <w:r>
        <w:rPr>
          <w:rFonts w:hint="eastAsia" w:ascii="仿宋_GB2312" w:hAnsi="仿宋_GB2312" w:eastAsia="仿宋_GB2312" w:cs="仿宋_GB2312"/>
          <w:sz w:val="32"/>
          <w:szCs w:val="32"/>
          <w:lang w:eastAsia="zh-CN"/>
        </w:rPr>
        <w:t>认真贯彻落实国务院和省政府关于</w:t>
      </w:r>
      <w:r>
        <w:rPr>
          <w:rFonts w:hint="eastAsia" w:ascii="仿宋_GB2312" w:hAnsi="仿宋_GB2312" w:eastAsia="仿宋_GB2312" w:cs="仿宋_GB2312"/>
          <w:sz w:val="32"/>
          <w:szCs w:val="32"/>
          <w:lang w:val="en-US" w:eastAsia="zh-CN"/>
        </w:rPr>
        <w:t>做好新时代</w:t>
      </w:r>
      <w:r>
        <w:rPr>
          <w:rFonts w:hint="eastAsia" w:ascii="仿宋_GB2312" w:hAnsi="仿宋_GB2312" w:eastAsia="仿宋_GB2312" w:cs="仿宋_GB2312"/>
          <w:sz w:val="32"/>
          <w:szCs w:val="32"/>
          <w:lang w:eastAsia="zh-CN"/>
        </w:rPr>
        <w:t>政务公开工作的部署要求，</w:t>
      </w:r>
      <w:r>
        <w:rPr>
          <w:rFonts w:hint="eastAsia" w:ascii="仿宋_GB2312" w:hAnsi="仿宋_GB2312" w:eastAsia="仿宋_GB2312" w:cs="仿宋_GB2312"/>
          <w:sz w:val="32"/>
          <w:szCs w:val="32"/>
          <w:lang w:val="en-US" w:eastAsia="zh-CN"/>
        </w:rPr>
        <w:t>依据</w:t>
      </w:r>
      <w:r>
        <w:rPr>
          <w:rFonts w:hint="eastAsia" w:ascii="仿宋_GB2312" w:hAnsi="仿宋_GB2312" w:eastAsia="仿宋_GB2312" w:cs="仿宋_GB2312"/>
          <w:sz w:val="32"/>
          <w:szCs w:val="32"/>
          <w:lang w:eastAsia="zh-CN"/>
        </w:rPr>
        <w:t>《2025年山东省政务公开工作要点》（鲁政办发〔2025〕5号），制定印发《2025年济南市</w:t>
      </w:r>
      <w:r>
        <w:rPr>
          <w:rFonts w:hint="eastAsia" w:ascii="仿宋_GB2312" w:hAnsi="仿宋_GB2312" w:eastAsia="仿宋_GB2312" w:cs="仿宋_GB2312"/>
          <w:b w:val="0"/>
          <w:bCs w:val="0"/>
          <w:sz w:val="32"/>
          <w:szCs w:val="32"/>
          <w:lang w:eastAsia="zh-CN"/>
        </w:rPr>
        <w:t>政务公开工作要点》（济政办发〔2025〕2号），建立工作台账，确保</w:t>
      </w:r>
      <w:r>
        <w:rPr>
          <w:rFonts w:hint="eastAsia" w:ascii="仿宋_GB2312" w:hAnsi="仿宋_GB2312" w:eastAsia="仿宋_GB2312" w:cs="仿宋_GB2312"/>
          <w:b w:val="0"/>
          <w:bCs w:val="0"/>
          <w:sz w:val="32"/>
          <w:szCs w:val="32"/>
          <w:lang w:val="en-US" w:eastAsia="zh-CN"/>
        </w:rPr>
        <w:t>目标</w:t>
      </w:r>
      <w:r>
        <w:rPr>
          <w:rFonts w:hint="eastAsia" w:ascii="仿宋_GB2312" w:hAnsi="仿宋_GB2312" w:eastAsia="仿宋_GB2312" w:cs="仿宋_GB2312"/>
          <w:b w:val="0"/>
          <w:bCs w:val="0"/>
          <w:sz w:val="32"/>
          <w:szCs w:val="32"/>
          <w:lang w:eastAsia="zh-CN"/>
        </w:rPr>
        <w:t>任务</w:t>
      </w:r>
      <w:r>
        <w:rPr>
          <w:rFonts w:hint="eastAsia" w:ascii="仿宋_GB2312" w:hAnsi="仿宋_GB2312" w:eastAsia="仿宋_GB2312" w:cs="仿宋_GB2312"/>
          <w:b w:val="0"/>
          <w:bCs w:val="0"/>
          <w:sz w:val="32"/>
          <w:szCs w:val="32"/>
          <w:lang w:val="en-US" w:eastAsia="zh-CN"/>
        </w:rPr>
        <w:t>落地见效</w:t>
      </w:r>
      <w:r>
        <w:rPr>
          <w:rFonts w:hint="eastAsia" w:ascii="仿宋_GB2312" w:hAnsi="仿宋_GB2312" w:eastAsia="仿宋_GB2312" w:cs="仿宋_GB2312"/>
          <w:b w:val="0"/>
          <w:bCs w:val="0"/>
          <w:sz w:val="32"/>
          <w:szCs w:val="32"/>
          <w:lang w:eastAsia="zh-CN"/>
        </w:rPr>
        <w:t>。</w:t>
      </w:r>
    </w:p>
    <w:p w14:paraId="02B453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仿宋_GB2312"/>
          <w:color w:val="000000" w:themeColor="text1"/>
          <w:sz w:val="32"/>
          <w:szCs w:val="40"/>
          <w14:textFill>
            <w14:solidFill>
              <w14:schemeClr w14:val="tx1"/>
            </w14:solidFill>
          </w14:textFill>
        </w:rPr>
      </w:pPr>
      <w:r>
        <w:rPr>
          <w:rFonts w:hint="eastAsia" w:ascii="仿宋_GB2312" w:hAnsi="仿宋_GB2312" w:eastAsia="仿宋_GB2312" w:cs="仿宋_GB2312"/>
          <w:b w:val="0"/>
          <w:bCs w:val="0"/>
          <w:sz w:val="32"/>
          <w:szCs w:val="32"/>
          <w:lang w:val="en-US" w:eastAsia="zh-CN"/>
        </w:rPr>
        <w:t>一</w:t>
      </w:r>
      <w:r>
        <w:rPr>
          <w:rFonts w:hint="eastAsia" w:ascii="仿宋_GB2312" w:hAnsi="仿宋_GB2312" w:eastAsia="仿宋_GB2312" w:cs="仿宋_GB2312"/>
          <w:b w:val="0"/>
          <w:bCs w:val="0"/>
          <w:sz w:val="32"/>
          <w:szCs w:val="32"/>
        </w:rPr>
        <w:t>是围绕</w:t>
      </w:r>
      <w:r>
        <w:rPr>
          <w:rFonts w:hint="eastAsia" w:ascii="仿宋_GB2312" w:hAnsi="仿宋_GB2312" w:eastAsia="仿宋_GB2312" w:cs="仿宋_GB2312"/>
          <w:b w:val="0"/>
          <w:bCs w:val="0"/>
          <w:sz w:val="32"/>
          <w:szCs w:val="32"/>
          <w:lang w:val="en-US" w:eastAsia="zh-CN"/>
        </w:rPr>
        <w:t>中心</w:t>
      </w:r>
      <w:r>
        <w:rPr>
          <w:rFonts w:hint="eastAsia" w:ascii="仿宋_GB2312" w:hAnsi="仿宋_GB2312" w:eastAsia="仿宋_GB2312" w:cs="仿宋_GB2312"/>
          <w:b w:val="0"/>
          <w:bCs w:val="0"/>
          <w:sz w:val="32"/>
          <w:szCs w:val="32"/>
        </w:rPr>
        <w:t>工作，</w:t>
      </w:r>
      <w:r>
        <w:rPr>
          <w:rFonts w:hint="eastAsia" w:ascii="仿宋_GB2312" w:hAnsi="仿宋_GB2312" w:eastAsia="仿宋_GB2312" w:cs="仿宋_GB2312"/>
          <w:b w:val="0"/>
          <w:bCs w:val="0"/>
          <w:sz w:val="32"/>
          <w:szCs w:val="32"/>
          <w:lang w:val="en-US" w:eastAsia="zh-CN"/>
        </w:rPr>
        <w:t>充分</w:t>
      </w:r>
      <w:r>
        <w:rPr>
          <w:rFonts w:hint="eastAsia" w:ascii="仿宋_GB2312" w:hAnsi="仿宋_GB2312" w:eastAsia="仿宋_GB2312" w:cs="仿宋_GB2312"/>
          <w:b w:val="0"/>
          <w:bCs w:val="0"/>
          <w:sz w:val="32"/>
          <w:szCs w:val="32"/>
        </w:rPr>
        <w:t>发挥政务公开功能作用。</w:t>
      </w:r>
      <w:r>
        <w:rPr>
          <w:rFonts w:hint="eastAsia" w:ascii="仿宋_GB2312" w:hAnsi="仿宋_GB2312" w:eastAsia="仿宋_GB2312" w:cs="仿宋_GB2312"/>
          <w:b w:val="0"/>
          <w:bCs w:val="0"/>
          <w:sz w:val="32"/>
          <w:szCs w:val="32"/>
          <w:lang w:val="en-US" w:eastAsia="zh-CN"/>
        </w:rPr>
        <w:t>做好</w:t>
      </w:r>
      <w:r>
        <w:rPr>
          <w:rFonts w:hint="eastAsia" w:ascii="仿宋_GB2312" w:hAnsi="仿宋_GB2312" w:eastAsia="仿宋_GB2312" w:cs="仿宋_GB2312"/>
          <w:b w:val="0"/>
          <w:bCs w:val="0"/>
          <w:sz w:val="32"/>
          <w:szCs w:val="32"/>
          <w:lang w:eastAsia="zh-CN"/>
        </w:rPr>
        <w:t>打造高质量发展增长极、推动经济量质齐升、发展新质生产力以及全面推进乡村振兴、数字济南、美丽济南和平安济南建设等方面信息公开工作；聚焦“高效办成一件事”，集成发布政务服务事项目录、办事指南和中介服务事项清单，</w:t>
      </w:r>
      <w:r>
        <w:rPr>
          <w:rFonts w:hint="eastAsia" w:ascii="仿宋_GB2312" w:hAnsi="仿宋_GB2312" w:eastAsia="仿宋_GB2312" w:cs="仿宋_GB2312"/>
          <w:b w:val="0"/>
          <w:bCs w:val="0"/>
          <w:sz w:val="32"/>
          <w:szCs w:val="32"/>
          <w:lang w:val="en-US" w:eastAsia="zh-CN"/>
        </w:rPr>
        <w:t>听取采纳社会各界关于优化营商环境的意见建议；</w:t>
      </w:r>
      <w:r>
        <w:rPr>
          <w:rFonts w:hint="eastAsia" w:ascii="仿宋_GB2312" w:hAnsi="仿宋_GB2312" w:eastAsia="仿宋_GB2312" w:cs="仿宋_GB2312"/>
          <w:b w:val="0"/>
          <w:bCs w:val="0"/>
          <w:sz w:val="32"/>
          <w:szCs w:val="32"/>
          <w:lang w:eastAsia="zh-CN"/>
        </w:rPr>
        <w:t>严格落实行政执法公示制度并规范涉企执法行为，做好权责清单公开，规范招投标、收费目录等信息公开；深化公共企事业单位信息公开，强化监管并</w:t>
      </w:r>
      <w:r>
        <w:rPr>
          <w:rFonts w:hint="eastAsia" w:ascii="仿宋_GB2312" w:hAnsi="仿宋_GB2312" w:eastAsia="仿宋_GB2312" w:cs="仿宋_GB2312"/>
          <w:b w:val="0"/>
          <w:bCs w:val="0"/>
          <w:sz w:val="32"/>
          <w:szCs w:val="32"/>
          <w:lang w:val="en-US" w:eastAsia="zh-CN"/>
        </w:rPr>
        <w:t>推进信息</w:t>
      </w:r>
      <w:r>
        <w:rPr>
          <w:rFonts w:hint="eastAsia" w:ascii="仿宋_GB2312" w:hAnsi="仿宋_GB2312" w:eastAsia="仿宋_GB2312" w:cs="仿宋_GB2312"/>
          <w:b w:val="0"/>
          <w:bCs w:val="0"/>
          <w:sz w:val="32"/>
          <w:szCs w:val="32"/>
          <w:lang w:eastAsia="zh-CN"/>
        </w:rPr>
        <w:t>公开与</w:t>
      </w:r>
      <w:r>
        <w:rPr>
          <w:rFonts w:hint="eastAsia" w:ascii="仿宋_GB2312" w:hAnsi="仿宋_GB2312" w:eastAsia="仿宋_GB2312" w:cs="仿宋_GB2312"/>
          <w:b w:val="0"/>
          <w:bCs w:val="0"/>
          <w:sz w:val="32"/>
          <w:szCs w:val="32"/>
          <w:lang w:val="en-US" w:eastAsia="zh-CN"/>
        </w:rPr>
        <w:t>单位</w:t>
      </w:r>
      <w:r>
        <w:rPr>
          <w:rFonts w:hint="eastAsia" w:ascii="仿宋_GB2312" w:hAnsi="仿宋_GB2312" w:eastAsia="仿宋_GB2312" w:cs="仿宋_GB2312"/>
          <w:b w:val="0"/>
          <w:bCs w:val="0"/>
          <w:sz w:val="32"/>
          <w:szCs w:val="32"/>
          <w:lang w:eastAsia="zh-CN"/>
        </w:rPr>
        <w:t>业务深度融合。</w:t>
      </w: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lang w:eastAsia="zh-CN"/>
        </w:rPr>
        <w:t>是坚持标准引领，全面</w:t>
      </w:r>
      <w:r>
        <w:rPr>
          <w:rFonts w:hint="eastAsia" w:ascii="仿宋_GB2312" w:hAnsi="仿宋_GB2312" w:eastAsia="仿宋_GB2312" w:cs="仿宋_GB2312"/>
          <w:b w:val="0"/>
          <w:bCs w:val="0"/>
          <w:sz w:val="32"/>
          <w:szCs w:val="32"/>
          <w:lang w:val="en-US" w:eastAsia="zh-CN"/>
        </w:rPr>
        <w:t>加强</w:t>
      </w:r>
      <w:r>
        <w:rPr>
          <w:rFonts w:hint="eastAsia" w:ascii="仿宋_GB2312" w:hAnsi="仿宋_GB2312" w:eastAsia="仿宋_GB2312" w:cs="仿宋_GB2312"/>
          <w:b w:val="0"/>
          <w:bCs w:val="0"/>
          <w:sz w:val="32"/>
          <w:szCs w:val="32"/>
          <w:lang w:eastAsia="zh-CN"/>
        </w:rPr>
        <w:t>政务公开</w:t>
      </w:r>
      <w:r>
        <w:rPr>
          <w:rFonts w:hint="eastAsia" w:ascii="仿宋_GB2312" w:hAnsi="仿宋_GB2312" w:eastAsia="仿宋_GB2312" w:cs="仿宋_GB2312"/>
          <w:b w:val="0"/>
          <w:bCs w:val="0"/>
          <w:sz w:val="32"/>
          <w:szCs w:val="32"/>
          <w:lang w:val="en-US" w:eastAsia="zh-CN"/>
        </w:rPr>
        <w:t>标准化建设</w:t>
      </w:r>
      <w:r>
        <w:rPr>
          <w:rFonts w:hint="eastAsia" w:ascii="仿宋_GB2312" w:hAnsi="仿宋_GB2312" w:eastAsia="仿宋_GB2312" w:cs="仿宋_GB2312"/>
          <w:b w:val="0"/>
          <w:bCs w:val="0"/>
          <w:sz w:val="32"/>
          <w:szCs w:val="32"/>
          <w:lang w:eastAsia="zh-CN"/>
        </w:rPr>
        <w:t>。持续完善并动态更新市、区县、街道（镇）三级主动公开事项目录体系，</w:t>
      </w:r>
      <w:r>
        <w:rPr>
          <w:rFonts w:hint="eastAsia" w:ascii="仿宋_GB2312" w:hAnsi="仿宋_GB2312" w:eastAsia="仿宋_GB2312" w:cs="仿宋_GB2312"/>
          <w:b w:val="0"/>
          <w:bCs w:val="0"/>
          <w:sz w:val="32"/>
          <w:szCs w:val="32"/>
          <w:lang w:val="en-US" w:eastAsia="zh-CN"/>
        </w:rPr>
        <w:t>健全主动公开事项目录制度，做到法定公开事项主动公开到位</w:t>
      </w:r>
      <w:r>
        <w:rPr>
          <w:rFonts w:hint="eastAsia" w:ascii="仿宋_GB2312" w:hAnsi="仿宋_GB2312" w:eastAsia="仿宋_GB2312" w:cs="仿宋_GB2312"/>
          <w:b w:val="0"/>
          <w:bCs w:val="0"/>
          <w:sz w:val="32"/>
          <w:szCs w:val="32"/>
          <w:lang w:eastAsia="zh-CN"/>
        </w:rPr>
        <w:t>；严格落实“三同步”制度，建立健全政策全周期解读工作机制。</w:t>
      </w: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lang w:eastAsia="zh-CN"/>
        </w:rPr>
        <w:t>是强化数字赋能，</w:t>
      </w:r>
      <w:r>
        <w:rPr>
          <w:rFonts w:hint="eastAsia" w:ascii="仿宋_GB2312" w:hAnsi="仿宋_GB2312" w:eastAsia="仿宋_GB2312" w:cs="仿宋_GB2312"/>
          <w:b w:val="0"/>
          <w:bCs w:val="0"/>
          <w:sz w:val="32"/>
          <w:szCs w:val="32"/>
          <w:lang w:val="en-US" w:eastAsia="zh-CN"/>
        </w:rPr>
        <w:t>积极推进</w:t>
      </w:r>
      <w:r>
        <w:rPr>
          <w:rFonts w:hint="eastAsia" w:ascii="仿宋_GB2312" w:hAnsi="仿宋_GB2312" w:eastAsia="仿宋_GB2312" w:cs="仿宋_GB2312"/>
          <w:b w:val="0"/>
          <w:bCs w:val="0"/>
          <w:sz w:val="32"/>
          <w:szCs w:val="32"/>
          <w:lang w:eastAsia="zh-CN"/>
        </w:rPr>
        <w:t>政务公开</w:t>
      </w:r>
      <w:r>
        <w:rPr>
          <w:rFonts w:hint="eastAsia" w:ascii="仿宋_GB2312" w:hAnsi="仿宋_GB2312" w:eastAsia="仿宋_GB2312" w:cs="仿宋_GB2312"/>
          <w:b w:val="0"/>
          <w:bCs w:val="0"/>
          <w:sz w:val="32"/>
          <w:szCs w:val="32"/>
          <w:lang w:val="en-US" w:eastAsia="zh-CN"/>
        </w:rPr>
        <w:t>数字化建设</w:t>
      </w:r>
      <w:r>
        <w:rPr>
          <w:rFonts w:hint="eastAsia" w:ascii="仿宋_GB2312" w:hAnsi="仿宋_GB2312" w:eastAsia="仿宋_GB2312" w:cs="仿宋_GB2312"/>
          <w:b w:val="0"/>
          <w:bCs w:val="0"/>
          <w:sz w:val="32"/>
          <w:szCs w:val="32"/>
          <w:lang w:eastAsia="zh-CN"/>
        </w:rPr>
        <w:t>。开发智能问答、精确查找、办事咨询等政策服务场景；持续优化市政府文件库，</w:t>
      </w:r>
      <w:r>
        <w:rPr>
          <w:rFonts w:hint="eastAsia" w:ascii="仿宋_GB2312" w:hAnsi="仿宋_GB2312" w:eastAsia="仿宋_GB2312" w:cs="仿宋_GB2312"/>
          <w:b w:val="0"/>
          <w:bCs w:val="0"/>
          <w:sz w:val="32"/>
          <w:szCs w:val="32"/>
          <w:lang w:val="en-US" w:eastAsia="zh-CN"/>
        </w:rPr>
        <w:t>加强政策专题</w:t>
      </w:r>
      <w:r>
        <w:rPr>
          <w:rFonts w:hint="eastAsia" w:ascii="仿宋_GB2312" w:hAnsi="仿宋_GB2312" w:eastAsia="仿宋_GB2312" w:cs="仿宋_GB2312"/>
          <w:sz w:val="32"/>
          <w:szCs w:val="32"/>
          <w:lang w:val="en-US" w:eastAsia="zh-CN"/>
        </w:rPr>
        <w:t>应用场景建设，先后建设社会保障卡办理服务、异地就医服务等政策应用场景；</w:t>
      </w:r>
      <w:r>
        <w:rPr>
          <w:rFonts w:hint="eastAsia" w:ascii="仿宋_GB2312" w:hAnsi="仿宋_GB2312" w:eastAsia="仿宋_GB2312" w:cs="仿宋_GB2312"/>
          <w:sz w:val="32"/>
          <w:szCs w:val="32"/>
          <w:lang w:eastAsia="zh-CN"/>
        </w:rPr>
        <w:t>依托全市政府网站和政务新媒体监管平台，对拟发布内容进行错别字、链接异常等全量检测，完善“数字化+人工”的检查读网机制，确保及时发现问题并整改，</w:t>
      </w:r>
      <w:r>
        <w:rPr>
          <w:rFonts w:hint="eastAsia" w:eastAsia="仿宋_GB2312" w:cs="仿宋_GB2312"/>
          <w:color w:val="000000" w:themeColor="text1"/>
          <w:sz w:val="32"/>
          <w:szCs w:val="40"/>
          <w14:textFill>
            <w14:solidFill>
              <w14:schemeClr w14:val="tx1"/>
            </w14:solidFill>
          </w14:textFill>
        </w:rPr>
        <w:t>有效降低信息发布源头错误风险。</w:t>
      </w:r>
    </w:p>
    <w:p w14:paraId="29213CE9">
      <w:pPr>
        <w:pStyle w:val="2"/>
        <w:ind w:left="0" w:leftChars="0" w:firstLine="0" w:firstLineChars="0"/>
        <w:jc w:val="center"/>
        <w:rPr>
          <w:rFonts w:hint="eastAsia"/>
          <w:lang w:eastAsia="zh-CN"/>
        </w:rPr>
      </w:pPr>
      <w:r>
        <w:rPr>
          <w:rFonts w:hint="eastAsia"/>
          <w:lang w:eastAsia="zh-CN"/>
        </w:rPr>
        <w:drawing>
          <wp:inline distT="0" distB="0" distL="114300" distR="114300">
            <wp:extent cx="5610225" cy="2967990"/>
            <wp:effectExtent l="0" t="0" r="13335" b="3810"/>
            <wp:docPr id="13" name="图片 13" descr="要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要点"/>
                    <pic:cNvPicPr>
                      <a:picLocks noChangeAspect="1"/>
                    </pic:cNvPicPr>
                  </pic:nvPicPr>
                  <pic:blipFill>
                    <a:blip r:embed="rId10"/>
                    <a:stretch>
                      <a:fillRect/>
                    </a:stretch>
                  </pic:blipFill>
                  <pic:spPr>
                    <a:xfrm>
                      <a:off x="0" y="0"/>
                      <a:ext cx="5610225" cy="2967990"/>
                    </a:xfrm>
                    <a:prstGeom prst="rect">
                      <a:avLst/>
                    </a:prstGeom>
                  </pic:spPr>
                </pic:pic>
              </a:graphicData>
            </a:graphic>
          </wp:inline>
        </w:drawing>
      </w:r>
    </w:p>
    <w:p w14:paraId="3E27D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（三）本行政机关人大代表建议和政协提案办理结果公开情况</w:t>
      </w:r>
    </w:p>
    <w:p w14:paraId="7AB82C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年，办理并公开省人大代表建议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件、省政协提案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件。市十八届人大四次会议以来，市政府共承办人大代表建议</w:t>
      </w:r>
      <w:r>
        <w:rPr>
          <w:rFonts w:hint="eastAsia" w:ascii="仿宋_GB2312" w:hAnsi="仿宋_GB2312" w:eastAsia="仿宋_GB2312" w:cs="仿宋_GB2312"/>
          <w:sz w:val="32"/>
          <w:szCs w:val="32"/>
          <w:lang w:val="en-US" w:eastAsia="zh-CN"/>
        </w:rPr>
        <w:t>374</w:t>
      </w:r>
      <w:r>
        <w:rPr>
          <w:rFonts w:hint="eastAsia" w:ascii="仿宋_GB2312" w:hAnsi="仿宋_GB2312" w:eastAsia="仿宋_GB2312" w:cs="仿宋_GB2312"/>
          <w:sz w:val="32"/>
          <w:szCs w:val="32"/>
        </w:rPr>
        <w:t>件。市政协十五届四次会议以来，市政府共承办政协提案</w:t>
      </w:r>
      <w:r>
        <w:rPr>
          <w:rFonts w:hint="eastAsia" w:ascii="仿宋_GB2312" w:hAnsi="仿宋_GB2312" w:eastAsia="仿宋_GB2312" w:cs="仿宋_GB2312"/>
          <w:sz w:val="32"/>
          <w:szCs w:val="32"/>
          <w:lang w:val="en-US" w:eastAsia="zh-CN"/>
        </w:rPr>
        <w:t>565</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US" w:eastAsia="zh-CN"/>
        </w:rPr>
        <w:t>939</w:t>
      </w:r>
      <w:r>
        <w:rPr>
          <w:rFonts w:hint="eastAsia" w:ascii="仿宋_GB2312" w:hAnsi="仿宋_GB2312" w:eastAsia="仿宋_GB2312" w:cs="仿宋_GB2312"/>
          <w:sz w:val="32"/>
          <w:szCs w:val="32"/>
        </w:rPr>
        <w:t>件市人大代表建议和政协提案已全部办理完毕。</w:t>
      </w:r>
    </w:p>
    <w:p w14:paraId="1CFCF449">
      <w:pPr>
        <w:pStyle w:val="2"/>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4877435" cy="3045460"/>
            <wp:effectExtent l="0" t="0" r="14605" b="0"/>
            <wp:docPr id="2" name="图片 2" descr="人大代表建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大代表建议"/>
                    <pic:cNvPicPr>
                      <a:picLocks noChangeAspect="1"/>
                    </pic:cNvPicPr>
                  </pic:nvPicPr>
                  <pic:blipFill>
                    <a:blip r:embed="rId11"/>
                    <a:stretch>
                      <a:fillRect/>
                    </a:stretch>
                  </pic:blipFill>
                  <pic:spPr>
                    <a:xfrm>
                      <a:off x="0" y="0"/>
                      <a:ext cx="4877435" cy="3045460"/>
                    </a:xfrm>
                    <a:prstGeom prst="rect">
                      <a:avLst/>
                    </a:prstGeom>
                  </pic:spPr>
                </pic:pic>
              </a:graphicData>
            </a:graphic>
          </wp:inline>
        </w:drawing>
      </w:r>
    </w:p>
    <w:p w14:paraId="30375BB3">
      <w:pPr>
        <w:pStyle w:val="3"/>
        <w:jc w:val="center"/>
        <w:rPr>
          <w:rFonts w:hint="eastAsia"/>
          <w:sz w:val="28"/>
          <w:szCs w:val="22"/>
          <w:lang w:eastAsia="zh-CN"/>
        </w:rPr>
      </w:pPr>
      <w:r>
        <w:rPr>
          <w:rFonts w:hint="eastAsia" w:ascii="仿宋_GB2312" w:hAnsi="仿宋_GB2312" w:eastAsia="仿宋_GB2312" w:cs="仿宋_GB2312"/>
          <w:sz w:val="28"/>
          <w:szCs w:val="28"/>
        </w:rPr>
        <w:t>市人大代表建议办理情况</w:t>
      </w:r>
    </w:p>
    <w:p w14:paraId="5A361FE4">
      <w:pPr>
        <w:pStyle w:val="3"/>
        <w:ind w:left="0" w:leftChars="0" w:firstLine="0" w:firstLineChars="0"/>
        <w:jc w:val="center"/>
        <w:rPr>
          <w:rFonts w:hint="eastAsia"/>
          <w:lang w:eastAsia="zh-CN"/>
        </w:rPr>
      </w:pPr>
      <w:r>
        <w:rPr>
          <w:rFonts w:hint="eastAsia"/>
          <w:lang w:eastAsia="zh-CN"/>
        </w:rPr>
        <w:drawing>
          <wp:inline distT="0" distB="0" distL="114300" distR="114300">
            <wp:extent cx="4852035" cy="3114040"/>
            <wp:effectExtent l="0" t="0" r="9525" b="0"/>
            <wp:docPr id="3" name="图片 3" descr="政协委员提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政协委员提案"/>
                    <pic:cNvPicPr>
                      <a:picLocks noChangeAspect="1"/>
                    </pic:cNvPicPr>
                  </pic:nvPicPr>
                  <pic:blipFill>
                    <a:blip r:embed="rId12"/>
                    <a:stretch>
                      <a:fillRect/>
                    </a:stretch>
                  </pic:blipFill>
                  <pic:spPr>
                    <a:xfrm>
                      <a:off x="0" y="0"/>
                      <a:ext cx="4852035" cy="3114040"/>
                    </a:xfrm>
                    <a:prstGeom prst="rect">
                      <a:avLst/>
                    </a:prstGeom>
                  </pic:spPr>
                </pic:pic>
              </a:graphicData>
            </a:graphic>
          </wp:inline>
        </w:drawing>
      </w:r>
    </w:p>
    <w:p w14:paraId="7B5144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
      <w:r>
        <w:rPr>
          <w:rFonts w:hint="eastAsia" w:ascii="仿宋_GB2312" w:hAnsi="仿宋_GB2312" w:eastAsia="仿宋_GB2312" w:cs="仿宋_GB2312"/>
          <w:sz w:val="28"/>
          <w:szCs w:val="28"/>
          <w:lang w:eastAsia="zh-CN"/>
        </w:rPr>
        <w:t>市政协提案办理情况</w:t>
      </w:r>
    </w:p>
    <w:p w14:paraId="694310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（四）本行政机关年度政务公开工作创新情况</w:t>
      </w:r>
    </w:p>
    <w:p w14:paraId="586A04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1.组织开展“泉诚公开、政府开放”系列活动。</w:t>
      </w:r>
      <w:r>
        <w:rPr>
          <w:rFonts w:hint="eastAsia" w:ascii="仿宋_GB2312" w:hAnsi="仿宋_GB2312" w:eastAsia="仿宋_GB2312" w:cs="仿宋_GB2312"/>
          <w:b w:val="0"/>
          <w:bCs w:val="0"/>
          <w:sz w:val="32"/>
          <w:szCs w:val="32"/>
        </w:rPr>
        <w:t>结合区县地域特色、部门职能特点以及政务公开品牌建设，组织指导</w:t>
      </w:r>
      <w:r>
        <w:rPr>
          <w:rFonts w:hint="eastAsia" w:ascii="仿宋_GB2312" w:hAnsi="仿宋_GB2312" w:eastAsia="仿宋_GB2312" w:cs="仿宋_GB2312"/>
          <w:b w:val="0"/>
          <w:bCs w:val="0"/>
          <w:sz w:val="32"/>
          <w:szCs w:val="32"/>
          <w:lang w:val="en-US" w:eastAsia="zh-CN"/>
        </w:rPr>
        <w:t>各级各部门开展好</w:t>
      </w:r>
      <w:r>
        <w:rPr>
          <w:rFonts w:hint="eastAsia" w:ascii="仿宋_GB2312" w:hAnsi="仿宋_GB2312" w:eastAsia="仿宋_GB2312" w:cs="仿宋_GB2312"/>
          <w:b w:val="0"/>
          <w:bCs w:val="0"/>
          <w:sz w:val="32"/>
          <w:szCs w:val="32"/>
        </w:rPr>
        <w:t>“泉诚公开、政府开放”</w:t>
      </w:r>
      <w:r>
        <w:rPr>
          <w:rFonts w:hint="eastAsia" w:ascii="仿宋_GB2312" w:hAnsi="仿宋_GB2312" w:eastAsia="仿宋_GB2312" w:cs="仿宋_GB2312"/>
          <w:b w:val="0"/>
          <w:bCs w:val="0"/>
          <w:sz w:val="32"/>
          <w:szCs w:val="32"/>
          <w:lang w:val="en-US" w:eastAsia="zh-CN"/>
        </w:rPr>
        <w:t>系列</w:t>
      </w:r>
      <w:r>
        <w:rPr>
          <w:rFonts w:hint="eastAsia" w:ascii="仿宋_GB2312" w:hAnsi="仿宋_GB2312" w:eastAsia="仿宋_GB2312" w:cs="仿宋_GB2312"/>
          <w:b w:val="0"/>
          <w:bCs w:val="0"/>
          <w:sz w:val="32"/>
          <w:szCs w:val="32"/>
          <w:lang w:eastAsia="zh-CN"/>
        </w:rPr>
        <w:t>活动，</w:t>
      </w:r>
      <w:r>
        <w:rPr>
          <w:rFonts w:hint="eastAsia" w:ascii="仿宋_GB2312" w:hAnsi="仿宋_GB2312" w:eastAsia="仿宋_GB2312" w:cs="仿宋_GB2312"/>
          <w:b w:val="0"/>
          <w:bCs w:val="0"/>
          <w:sz w:val="32"/>
          <w:szCs w:val="32"/>
        </w:rPr>
        <w:t>推动</w:t>
      </w:r>
      <w:r>
        <w:rPr>
          <w:rFonts w:hint="eastAsia" w:ascii="仿宋_GB2312" w:hAnsi="仿宋_GB2312" w:eastAsia="仿宋_GB2312" w:cs="仿宋_GB2312"/>
          <w:b w:val="0"/>
          <w:bCs w:val="0"/>
          <w:sz w:val="32"/>
          <w:szCs w:val="32"/>
          <w:lang w:val="en-US" w:eastAsia="zh-CN"/>
        </w:rPr>
        <w:t>政府</w:t>
      </w:r>
      <w:r>
        <w:rPr>
          <w:rFonts w:hint="eastAsia" w:ascii="仿宋_GB2312" w:hAnsi="仿宋_GB2312" w:eastAsia="仿宋_GB2312" w:cs="仿宋_GB2312"/>
          <w:b w:val="0"/>
          <w:bCs w:val="0"/>
          <w:sz w:val="32"/>
          <w:szCs w:val="32"/>
        </w:rPr>
        <w:t>开放活动</w:t>
      </w:r>
      <w:r>
        <w:rPr>
          <w:rFonts w:hint="eastAsia" w:ascii="仿宋_GB2312" w:hAnsi="仿宋_GB2312" w:eastAsia="仿宋_GB2312" w:cs="仿宋_GB2312"/>
          <w:b w:val="0"/>
          <w:bCs w:val="0"/>
          <w:sz w:val="32"/>
          <w:szCs w:val="32"/>
          <w:lang w:val="en-US" w:eastAsia="zh-CN"/>
        </w:rPr>
        <w:t>由</w:t>
      </w:r>
      <w:r>
        <w:rPr>
          <w:rFonts w:hint="eastAsia" w:ascii="仿宋_GB2312" w:hAnsi="仿宋_GB2312" w:eastAsia="仿宋_GB2312" w:cs="仿宋_GB2312"/>
          <w:b w:val="0"/>
          <w:bCs w:val="0"/>
          <w:sz w:val="32"/>
          <w:szCs w:val="32"/>
        </w:rPr>
        <w:t>“参观式”向“议事式”“解决式”转变</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全年</w:t>
      </w:r>
      <w:r>
        <w:rPr>
          <w:rFonts w:hint="eastAsia" w:ascii="仿宋_GB2312" w:hAnsi="仿宋_GB2312" w:eastAsia="仿宋_GB2312" w:cs="仿宋_GB2312"/>
          <w:b w:val="0"/>
          <w:bCs w:val="0"/>
          <w:sz w:val="32"/>
          <w:szCs w:val="32"/>
        </w:rPr>
        <w:t>组织</w:t>
      </w:r>
      <w:r>
        <w:rPr>
          <w:rFonts w:hint="eastAsia" w:ascii="仿宋_GB2312" w:hAnsi="仿宋_GB2312" w:eastAsia="仿宋_GB2312" w:cs="仿宋_GB2312"/>
          <w:b w:val="0"/>
          <w:bCs w:val="0"/>
          <w:sz w:val="32"/>
          <w:szCs w:val="32"/>
          <w:lang w:val="en-US" w:eastAsia="zh-CN"/>
        </w:rPr>
        <w:t>各类</w:t>
      </w:r>
      <w:r>
        <w:rPr>
          <w:rFonts w:hint="eastAsia" w:ascii="仿宋_GB2312" w:hAnsi="仿宋_GB2312" w:eastAsia="仿宋_GB2312" w:cs="仿宋_GB2312"/>
          <w:b w:val="0"/>
          <w:bCs w:val="0"/>
          <w:sz w:val="32"/>
          <w:szCs w:val="32"/>
        </w:rPr>
        <w:t>政府开放活动510余场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color w:val="auto"/>
          <w:sz w:val="32"/>
          <w:szCs w:val="32"/>
        </w:rPr>
        <w:t>历下区组织市民代表参与二次供水设施改造工程协商监督，实现“过程全透明、结果可检验”；</w:t>
      </w:r>
      <w:r>
        <w:rPr>
          <w:rFonts w:hint="eastAsia" w:ascii="仿宋_GB2312" w:hAnsi="仿宋_GB2312" w:eastAsia="仿宋_GB2312" w:cs="仿宋_GB2312"/>
          <w:b w:val="0"/>
          <w:bCs w:val="0"/>
          <w:color w:val="auto"/>
          <w:sz w:val="32"/>
          <w:szCs w:val="32"/>
          <w:lang w:eastAsia="zh-CN"/>
        </w:rPr>
        <w:t>济阳区开展“政务服务体验官活动”，邀请市民代表现场体验政务服务办事流程，</w:t>
      </w:r>
      <w:r>
        <w:rPr>
          <w:rFonts w:hint="eastAsia" w:ascii="仿宋_GB2312" w:hAnsi="仿宋_GB2312" w:eastAsia="仿宋_GB2312" w:cs="仿宋_GB2312"/>
          <w:b w:val="0"/>
          <w:bCs w:val="0"/>
          <w:color w:val="auto"/>
          <w:sz w:val="32"/>
          <w:szCs w:val="32"/>
          <w:lang w:val="en-US" w:eastAsia="zh-CN"/>
        </w:rPr>
        <w:t>认真</w:t>
      </w:r>
      <w:r>
        <w:rPr>
          <w:rFonts w:hint="eastAsia" w:ascii="仿宋_GB2312" w:hAnsi="仿宋_GB2312" w:eastAsia="仿宋_GB2312" w:cs="仿宋_GB2312"/>
          <w:b w:val="0"/>
          <w:bCs w:val="0"/>
          <w:color w:val="auto"/>
          <w:sz w:val="32"/>
          <w:szCs w:val="32"/>
          <w:lang w:eastAsia="zh-CN"/>
        </w:rPr>
        <w:t>听取意见建议；</w:t>
      </w:r>
      <w:r>
        <w:rPr>
          <w:rFonts w:hint="eastAsia" w:ascii="仿宋_GB2312" w:hAnsi="仿宋_GB2312" w:eastAsia="仿宋_GB2312" w:cs="仿宋_GB2312"/>
          <w:b w:val="0"/>
          <w:bCs w:val="0"/>
          <w:color w:val="auto"/>
          <w:sz w:val="32"/>
          <w:szCs w:val="32"/>
        </w:rPr>
        <w:t>章丘区举办</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企业家日</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“中医夜市”</w:t>
      </w:r>
      <w:r>
        <w:rPr>
          <w:rFonts w:hint="eastAsia" w:ascii="仿宋_GB2312" w:hAnsi="仿宋_GB2312" w:eastAsia="仿宋_GB2312" w:cs="仿宋_GB2312"/>
          <w:b w:val="0"/>
          <w:bCs w:val="0"/>
          <w:color w:val="auto"/>
          <w:sz w:val="32"/>
          <w:szCs w:val="32"/>
          <w:lang w:val="en-US" w:eastAsia="zh-CN"/>
        </w:rPr>
        <w:t>等</w:t>
      </w:r>
      <w:r>
        <w:rPr>
          <w:rFonts w:hint="eastAsia" w:ascii="仿宋_GB2312" w:hAnsi="仿宋_GB2312" w:eastAsia="仿宋_GB2312" w:cs="仿宋_GB2312"/>
          <w:b w:val="0"/>
          <w:bCs w:val="0"/>
          <w:color w:val="auto"/>
          <w:sz w:val="32"/>
          <w:szCs w:val="32"/>
        </w:rPr>
        <w:t>开放活动，以多元</w:t>
      </w:r>
      <w:r>
        <w:rPr>
          <w:rFonts w:hint="eastAsia" w:ascii="仿宋_GB2312" w:hAnsi="仿宋_GB2312" w:eastAsia="仿宋_GB2312" w:cs="仿宋_GB2312"/>
          <w:b w:val="0"/>
          <w:bCs w:val="0"/>
          <w:color w:val="auto"/>
          <w:sz w:val="32"/>
          <w:szCs w:val="32"/>
          <w:lang w:val="en-US" w:eastAsia="zh-CN"/>
        </w:rPr>
        <w:t>化</w:t>
      </w:r>
      <w:r>
        <w:rPr>
          <w:rFonts w:hint="eastAsia" w:ascii="仿宋_GB2312" w:hAnsi="仿宋_GB2312" w:eastAsia="仿宋_GB2312" w:cs="仿宋_GB2312"/>
          <w:b w:val="0"/>
          <w:bCs w:val="0"/>
          <w:color w:val="auto"/>
          <w:sz w:val="32"/>
          <w:szCs w:val="32"/>
        </w:rPr>
        <w:t>服务</w:t>
      </w:r>
      <w:r>
        <w:rPr>
          <w:rFonts w:hint="eastAsia" w:ascii="仿宋_GB2312" w:hAnsi="仿宋_GB2312" w:eastAsia="仿宋_GB2312" w:cs="仿宋_GB2312"/>
          <w:b w:val="0"/>
          <w:bCs w:val="0"/>
          <w:color w:val="auto"/>
          <w:sz w:val="32"/>
          <w:szCs w:val="32"/>
          <w:lang w:val="en-US" w:eastAsia="zh-CN"/>
        </w:rPr>
        <w:t>满足企业、</w:t>
      </w:r>
      <w:r>
        <w:rPr>
          <w:rFonts w:hint="eastAsia" w:ascii="仿宋_GB2312" w:hAnsi="仿宋_GB2312" w:eastAsia="仿宋_GB2312" w:cs="仿宋_GB2312"/>
          <w:b w:val="0"/>
          <w:bCs w:val="0"/>
          <w:color w:val="auto"/>
          <w:sz w:val="32"/>
          <w:szCs w:val="32"/>
        </w:rPr>
        <w:t>群众</w:t>
      </w:r>
      <w:r>
        <w:rPr>
          <w:rFonts w:hint="eastAsia" w:ascii="仿宋_GB2312" w:hAnsi="仿宋_GB2312" w:eastAsia="仿宋_GB2312" w:cs="仿宋_GB2312"/>
          <w:b w:val="0"/>
          <w:bCs w:val="0"/>
          <w:color w:val="auto"/>
          <w:sz w:val="32"/>
          <w:szCs w:val="32"/>
          <w:lang w:val="en-US" w:eastAsia="zh-CN"/>
        </w:rPr>
        <w:t>政策</w:t>
      </w:r>
      <w:r>
        <w:rPr>
          <w:rFonts w:hint="eastAsia" w:ascii="仿宋_GB2312" w:hAnsi="仿宋_GB2312" w:eastAsia="仿宋_GB2312" w:cs="仿宋_GB2312"/>
          <w:b w:val="0"/>
          <w:bCs w:val="0"/>
          <w:color w:val="auto"/>
          <w:sz w:val="32"/>
          <w:szCs w:val="32"/>
        </w:rPr>
        <w:t>需求，提升</w:t>
      </w:r>
      <w:r>
        <w:rPr>
          <w:rFonts w:hint="eastAsia" w:ascii="仿宋_GB2312" w:hAnsi="仿宋_GB2312" w:eastAsia="仿宋_GB2312" w:cs="仿宋_GB2312"/>
          <w:b w:val="0"/>
          <w:bCs w:val="0"/>
          <w:color w:val="auto"/>
          <w:sz w:val="32"/>
          <w:szCs w:val="32"/>
          <w:lang w:val="en-US" w:eastAsia="zh-CN"/>
        </w:rPr>
        <w:t>政务</w:t>
      </w:r>
      <w:r>
        <w:rPr>
          <w:rFonts w:hint="eastAsia" w:ascii="仿宋_GB2312" w:hAnsi="仿宋_GB2312" w:eastAsia="仿宋_GB2312" w:cs="仿宋_GB2312"/>
          <w:b w:val="0"/>
          <w:bCs w:val="0"/>
          <w:color w:val="auto"/>
          <w:sz w:val="32"/>
          <w:szCs w:val="32"/>
        </w:rPr>
        <w:t>公开温度。</w:t>
      </w:r>
      <w:r>
        <w:rPr>
          <w:rFonts w:hint="eastAsia" w:ascii="仿宋_GB2312" w:hAnsi="仿宋_GB2312" w:eastAsia="仿宋_GB2312" w:cs="仿宋_GB2312"/>
          <w:b w:val="0"/>
          <w:bCs w:val="0"/>
          <w:sz w:val="32"/>
          <w:szCs w:val="32"/>
        </w:rPr>
        <w:t>市园林和林业绿化局以“共建共享绿色家园”为主题，邀请市民代表共同商议</w:t>
      </w:r>
      <w:r>
        <w:rPr>
          <w:rFonts w:hint="eastAsia" w:ascii="仿宋_GB2312" w:hAnsi="仿宋_GB2312" w:eastAsia="仿宋_GB2312" w:cs="仿宋_GB2312"/>
          <w:b w:val="0"/>
          <w:bCs w:val="0"/>
          <w:sz w:val="32"/>
          <w:szCs w:val="32"/>
          <w:lang w:val="en-US" w:eastAsia="zh-CN"/>
        </w:rPr>
        <w:t>城市</w:t>
      </w:r>
      <w:r>
        <w:rPr>
          <w:rFonts w:hint="eastAsia" w:ascii="仿宋_GB2312" w:hAnsi="仿宋_GB2312" w:eastAsia="仿宋_GB2312" w:cs="仿宋_GB2312"/>
          <w:b w:val="0"/>
          <w:bCs w:val="0"/>
          <w:sz w:val="32"/>
          <w:szCs w:val="32"/>
        </w:rPr>
        <w:t>绿化惠民举措的实施方案</w:t>
      </w:r>
      <w:r>
        <w:rPr>
          <w:rFonts w:hint="eastAsia" w:ascii="仿宋_GB2312" w:hAnsi="仿宋_GB2312" w:eastAsia="仿宋_GB2312" w:cs="仿宋_GB2312"/>
          <w:b w:val="0"/>
          <w:bCs w:val="0"/>
          <w:sz w:val="32"/>
          <w:szCs w:val="32"/>
          <w:lang w:eastAsia="zh-CN"/>
        </w:rPr>
        <w:t>；市交通运输局开设“交通运输执法大讲堂”专题，创新“互联网直播+执法”模式，直播交通执法全过程。</w:t>
      </w:r>
    </w:p>
    <w:p w14:paraId="288A61A0">
      <w:pPr>
        <w:pStyle w:val="2"/>
        <w:ind w:left="0" w:leftChars="0" w:firstLine="0" w:firstLineChars="0"/>
        <w:jc w:val="center"/>
        <w:rPr>
          <w:rFonts w:hint="eastAsia"/>
          <w:lang w:eastAsia="zh-CN"/>
        </w:rPr>
      </w:pPr>
      <w:r>
        <w:rPr>
          <w:rFonts w:hint="eastAsia"/>
          <w:lang w:eastAsia="zh-CN"/>
        </w:rPr>
        <w:drawing>
          <wp:inline distT="0" distB="0" distL="114300" distR="114300">
            <wp:extent cx="5608955" cy="2648585"/>
            <wp:effectExtent l="0" t="0" r="14605" b="3175"/>
            <wp:docPr id="14" name="图片 14" descr="政府开放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政府开放活动"/>
                    <pic:cNvPicPr>
                      <a:picLocks noChangeAspect="1"/>
                    </pic:cNvPicPr>
                  </pic:nvPicPr>
                  <pic:blipFill>
                    <a:blip r:embed="rId13"/>
                    <a:stretch>
                      <a:fillRect/>
                    </a:stretch>
                  </pic:blipFill>
                  <pic:spPr>
                    <a:xfrm>
                      <a:off x="0" y="0"/>
                      <a:ext cx="5608955" cy="2648585"/>
                    </a:xfrm>
                    <a:prstGeom prst="rect">
                      <a:avLst/>
                    </a:prstGeom>
                  </pic:spPr>
                </pic:pic>
              </a:graphicData>
            </a:graphic>
          </wp:inline>
        </w:drawing>
      </w:r>
    </w:p>
    <w:p w14:paraId="12DC65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val="en-US" w:eastAsia="zh-CN"/>
        </w:rPr>
        <w:t>2.持续推进政务新媒体“瘦身提质”。</w:t>
      </w:r>
      <w:r>
        <w:rPr>
          <w:rFonts w:hint="eastAsia" w:ascii="仿宋_GB2312" w:hAnsi="仿宋_GB2312" w:eastAsia="仿宋_GB2312" w:cs="仿宋_GB2312"/>
          <w:b w:val="0"/>
          <w:bCs w:val="0"/>
          <w:sz w:val="32"/>
          <w:szCs w:val="32"/>
          <w:lang w:eastAsia="zh-CN"/>
        </w:rPr>
        <w:t>根据上级部署要求，按照提升一批、整合一批、关停一批的总体思路，系统梳理全市政务新媒体运行情况，重点排查政务</w:t>
      </w:r>
      <w:r>
        <w:rPr>
          <w:rFonts w:hint="eastAsia" w:ascii="仿宋_GB2312" w:hAnsi="仿宋_GB2312" w:eastAsia="仿宋_GB2312" w:cs="仿宋_GB2312"/>
          <w:sz w:val="32"/>
          <w:szCs w:val="32"/>
          <w:lang w:eastAsia="zh-CN"/>
        </w:rPr>
        <w:t>新媒体“重建轻管”“重量轻质”等问题，对使用频率低、实用性不强的各类政务新媒体全面关停注销，切实减轻基层运维负担，先后整合、关停政务新媒体账号130个，我市在全国政务新媒体信息报送系统中备案的政务新媒体账号已压缩到207个；同时优化提升“济南市教育局”微信订阅号、“济南市文化和旅游局”微信订阅号、“济南人社”微信订阅号等群众关注度高、影响力</w:t>
      </w:r>
      <w:r>
        <w:rPr>
          <w:rFonts w:hint="eastAsia" w:ascii="仿宋_GB2312" w:hAnsi="仿宋_GB2312" w:eastAsia="仿宋_GB2312" w:cs="仿宋_GB2312"/>
          <w:sz w:val="32"/>
          <w:szCs w:val="32"/>
          <w:lang w:val="en-US" w:eastAsia="zh-CN"/>
        </w:rPr>
        <w:t>较大</w:t>
      </w:r>
      <w:r>
        <w:rPr>
          <w:rFonts w:hint="eastAsia" w:ascii="仿宋_GB2312" w:hAnsi="仿宋_GB2312" w:eastAsia="仿宋_GB2312" w:cs="仿宋_GB2312"/>
          <w:sz w:val="32"/>
          <w:szCs w:val="32"/>
          <w:lang w:eastAsia="zh-CN"/>
        </w:rPr>
        <w:t>的优质精品账号，分批</w:t>
      </w:r>
      <w:r>
        <w:rPr>
          <w:rFonts w:hint="eastAsia" w:ascii="仿宋_GB2312" w:hAnsi="仿宋_GB2312" w:eastAsia="仿宋_GB2312" w:cs="仿宋_GB2312"/>
          <w:sz w:val="32"/>
          <w:szCs w:val="32"/>
          <w:lang w:val="en-US" w:eastAsia="zh-CN"/>
        </w:rPr>
        <w:t>次</w:t>
      </w:r>
      <w:r>
        <w:rPr>
          <w:rFonts w:hint="eastAsia" w:ascii="仿宋_GB2312" w:hAnsi="仿宋_GB2312" w:eastAsia="仿宋_GB2312" w:cs="仿宋_GB2312"/>
          <w:sz w:val="32"/>
          <w:szCs w:val="32"/>
          <w:lang w:eastAsia="zh-CN"/>
        </w:rPr>
        <w:t>抓好</w:t>
      </w:r>
      <w:r>
        <w:rPr>
          <w:rFonts w:hint="eastAsia" w:ascii="仿宋_GB2312" w:hAnsi="仿宋_GB2312" w:eastAsia="仿宋_GB2312" w:cs="仿宋_GB2312"/>
          <w:sz w:val="32"/>
          <w:szCs w:val="32"/>
          <w:lang w:val="en-US" w:eastAsia="zh-CN"/>
        </w:rPr>
        <w:t>优化提升</w:t>
      </w:r>
      <w:r>
        <w:rPr>
          <w:rFonts w:hint="eastAsia" w:ascii="仿宋_GB2312" w:hAnsi="仿宋_GB2312" w:eastAsia="仿宋_GB2312" w:cs="仿宋_GB2312"/>
          <w:sz w:val="32"/>
          <w:szCs w:val="32"/>
          <w:lang w:eastAsia="zh-CN"/>
        </w:rPr>
        <w:t>成果的转化应用。</w:t>
      </w:r>
    </w:p>
    <w:p w14:paraId="7DE878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（五）政府信息公开工作年度报告数据统计需要说明的事项</w:t>
      </w:r>
    </w:p>
    <w:p w14:paraId="76BED2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“三、收到和处理政府信息公开申请情况”中，第三项“本年度办理结果”中第（六）项“其他处理”中第3项“其他”的</w:t>
      </w:r>
      <w:r>
        <w:rPr>
          <w:rFonts w:hint="eastAsia" w:ascii="仿宋_GB2312" w:hAnsi="仿宋_GB2312" w:eastAsia="仿宋_GB2312" w:cs="仿宋_GB2312"/>
          <w:sz w:val="32"/>
          <w:szCs w:val="32"/>
          <w:lang w:val="en-US" w:eastAsia="zh-CN"/>
        </w:rPr>
        <w:t>293</w:t>
      </w:r>
      <w:r>
        <w:rPr>
          <w:rFonts w:hint="eastAsia" w:ascii="仿宋_GB2312" w:hAnsi="仿宋_GB2312" w:eastAsia="仿宋_GB2312" w:cs="仿宋_GB2312"/>
          <w:sz w:val="32"/>
          <w:szCs w:val="32"/>
          <w:lang w:eastAsia="zh-CN"/>
        </w:rPr>
        <w:t>个依申请公开件属于“咨询事项”“申请人自愿撤回申请”等情况。</w:t>
      </w:r>
      <w:bookmarkStart w:id="9" w:name="_GoBack"/>
      <w:bookmarkEnd w:id="9"/>
    </w:p>
    <w:p w14:paraId="2299A0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sectPr>
      <w:footerReference r:id="rId3" w:type="default"/>
      <w:pgSz w:w="11906" w:h="16838"/>
      <w:pgMar w:top="1984" w:right="1474" w:bottom="1871" w:left="1587" w:header="851" w:footer="1417"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CD0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27627">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227627">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A85250"/>
    <w:rsid w:val="0348159A"/>
    <w:rsid w:val="04243DB5"/>
    <w:rsid w:val="04447FB3"/>
    <w:rsid w:val="053A3164"/>
    <w:rsid w:val="064A12E8"/>
    <w:rsid w:val="06AC6025"/>
    <w:rsid w:val="08252CB6"/>
    <w:rsid w:val="087A0447"/>
    <w:rsid w:val="08F04266"/>
    <w:rsid w:val="097F12A3"/>
    <w:rsid w:val="0B266665"/>
    <w:rsid w:val="0C1F4E62"/>
    <w:rsid w:val="0CD8398F"/>
    <w:rsid w:val="0D7F3E0A"/>
    <w:rsid w:val="0F276507"/>
    <w:rsid w:val="1010343F"/>
    <w:rsid w:val="11BA7B07"/>
    <w:rsid w:val="12957C2C"/>
    <w:rsid w:val="13051255"/>
    <w:rsid w:val="140E7C96"/>
    <w:rsid w:val="14DC5D31"/>
    <w:rsid w:val="14E07884"/>
    <w:rsid w:val="167B7F85"/>
    <w:rsid w:val="16A80820"/>
    <w:rsid w:val="16B50D4D"/>
    <w:rsid w:val="17BF6981"/>
    <w:rsid w:val="19A76BC3"/>
    <w:rsid w:val="1BE91D63"/>
    <w:rsid w:val="1C192405"/>
    <w:rsid w:val="1CE26164"/>
    <w:rsid w:val="1D24677C"/>
    <w:rsid w:val="1DF443A0"/>
    <w:rsid w:val="1E0847E3"/>
    <w:rsid w:val="1E965458"/>
    <w:rsid w:val="1EBD4792"/>
    <w:rsid w:val="1F6A28DC"/>
    <w:rsid w:val="1FE81CE3"/>
    <w:rsid w:val="20144886"/>
    <w:rsid w:val="20CF4269"/>
    <w:rsid w:val="22E9024C"/>
    <w:rsid w:val="24376D95"/>
    <w:rsid w:val="244F3A21"/>
    <w:rsid w:val="25284930"/>
    <w:rsid w:val="25E371D4"/>
    <w:rsid w:val="26527EB6"/>
    <w:rsid w:val="270174B8"/>
    <w:rsid w:val="27B61356"/>
    <w:rsid w:val="28C26BA9"/>
    <w:rsid w:val="28FB65E3"/>
    <w:rsid w:val="29080D00"/>
    <w:rsid w:val="297E0FC2"/>
    <w:rsid w:val="297E7214"/>
    <w:rsid w:val="298C36DF"/>
    <w:rsid w:val="2B2F4C6A"/>
    <w:rsid w:val="2BC37160"/>
    <w:rsid w:val="2D585177"/>
    <w:rsid w:val="2DDF4725"/>
    <w:rsid w:val="2EDA4BB0"/>
    <w:rsid w:val="2F0A1ED4"/>
    <w:rsid w:val="2FF2036A"/>
    <w:rsid w:val="31B22151"/>
    <w:rsid w:val="326308E1"/>
    <w:rsid w:val="32AC2F82"/>
    <w:rsid w:val="32BF68D3"/>
    <w:rsid w:val="33957634"/>
    <w:rsid w:val="33A1422B"/>
    <w:rsid w:val="340D366E"/>
    <w:rsid w:val="34D16D92"/>
    <w:rsid w:val="369260AD"/>
    <w:rsid w:val="36DE12F2"/>
    <w:rsid w:val="37207D67"/>
    <w:rsid w:val="38437802"/>
    <w:rsid w:val="38FF6402"/>
    <w:rsid w:val="3A4A73CA"/>
    <w:rsid w:val="3AA52853"/>
    <w:rsid w:val="3AA572CA"/>
    <w:rsid w:val="3BB371F1"/>
    <w:rsid w:val="3C8F7316"/>
    <w:rsid w:val="3C94492D"/>
    <w:rsid w:val="3D430101"/>
    <w:rsid w:val="3E822F5F"/>
    <w:rsid w:val="3ED731F7"/>
    <w:rsid w:val="3F177A97"/>
    <w:rsid w:val="3F4978CC"/>
    <w:rsid w:val="41410DFB"/>
    <w:rsid w:val="42CC3CF1"/>
    <w:rsid w:val="43362BE2"/>
    <w:rsid w:val="44987671"/>
    <w:rsid w:val="45435142"/>
    <w:rsid w:val="45A616DF"/>
    <w:rsid w:val="46712183"/>
    <w:rsid w:val="468E7A41"/>
    <w:rsid w:val="47BA2C9B"/>
    <w:rsid w:val="47E66258"/>
    <w:rsid w:val="4A4C6847"/>
    <w:rsid w:val="4AC9433B"/>
    <w:rsid w:val="4ACC7988"/>
    <w:rsid w:val="4AEE6577"/>
    <w:rsid w:val="4B582D53"/>
    <w:rsid w:val="4C2D7E22"/>
    <w:rsid w:val="4D556E82"/>
    <w:rsid w:val="4D677E3B"/>
    <w:rsid w:val="4EB149A6"/>
    <w:rsid w:val="4F1E452A"/>
    <w:rsid w:val="4FBF7ABB"/>
    <w:rsid w:val="4FDD4E6F"/>
    <w:rsid w:val="4FF15FAA"/>
    <w:rsid w:val="5176689F"/>
    <w:rsid w:val="517B5C63"/>
    <w:rsid w:val="52EB3A17"/>
    <w:rsid w:val="55BA1E6B"/>
    <w:rsid w:val="56582A17"/>
    <w:rsid w:val="56D24578"/>
    <w:rsid w:val="571526B6"/>
    <w:rsid w:val="584A11EE"/>
    <w:rsid w:val="5866766D"/>
    <w:rsid w:val="589402B8"/>
    <w:rsid w:val="58E96F9A"/>
    <w:rsid w:val="5A0A107B"/>
    <w:rsid w:val="5A656D0E"/>
    <w:rsid w:val="5A692B75"/>
    <w:rsid w:val="5AB741B0"/>
    <w:rsid w:val="5B9404C9"/>
    <w:rsid w:val="5B9F2091"/>
    <w:rsid w:val="5BDB7A2A"/>
    <w:rsid w:val="5C023E14"/>
    <w:rsid w:val="5D1F428F"/>
    <w:rsid w:val="61D70231"/>
    <w:rsid w:val="642B176B"/>
    <w:rsid w:val="65876E75"/>
    <w:rsid w:val="65FF4C5D"/>
    <w:rsid w:val="67E90744"/>
    <w:rsid w:val="680A680D"/>
    <w:rsid w:val="686B0388"/>
    <w:rsid w:val="69EA30F4"/>
    <w:rsid w:val="6A1A5B78"/>
    <w:rsid w:val="6BD66471"/>
    <w:rsid w:val="6C237FB2"/>
    <w:rsid w:val="6D4C69DA"/>
    <w:rsid w:val="6DB2644D"/>
    <w:rsid w:val="6F8C18C9"/>
    <w:rsid w:val="7016507D"/>
    <w:rsid w:val="70313C65"/>
    <w:rsid w:val="708F6BDE"/>
    <w:rsid w:val="70FC4273"/>
    <w:rsid w:val="71F80EDE"/>
    <w:rsid w:val="733A10F5"/>
    <w:rsid w:val="73475A52"/>
    <w:rsid w:val="73B40E35"/>
    <w:rsid w:val="786C6182"/>
    <w:rsid w:val="78A21633"/>
    <w:rsid w:val="790A78B9"/>
    <w:rsid w:val="791352B2"/>
    <w:rsid w:val="794F0D84"/>
    <w:rsid w:val="79C3672E"/>
    <w:rsid w:val="7A88301C"/>
    <w:rsid w:val="7ACF29F8"/>
    <w:rsid w:val="7AD46261"/>
    <w:rsid w:val="7B551150"/>
    <w:rsid w:val="7B876D7E"/>
    <w:rsid w:val="7D3B25C7"/>
    <w:rsid w:val="7D6E474B"/>
    <w:rsid w:val="7E1C41A7"/>
    <w:rsid w:val="7E6E2528"/>
    <w:rsid w:val="7EA5419C"/>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ind w:firstLine="540"/>
    </w:pPr>
    <w:rPr>
      <w:sz w:val="30"/>
    </w:rPr>
  </w:style>
  <w:style w:type="paragraph" w:styleId="3">
    <w:name w:val="Normal Indent"/>
    <w:basedOn w:val="1"/>
    <w:next w:val="4"/>
    <w:qFormat/>
    <w:uiPriority w:val="0"/>
    <w:pPr>
      <w:ind w:firstLine="420"/>
    </w:pPr>
    <w:rPr>
      <w:rFonts w:hint="eastAsia" w:ascii="Times New Roman" w:hAnsi="Times New Roman" w:eastAsia="仿宋_GB2312" w:cs="Times New Roman"/>
      <w:sz w:val="32"/>
    </w:rPr>
  </w:style>
  <w:style w:type="paragraph" w:styleId="4">
    <w:name w:val="toc 8"/>
    <w:next w:val="1"/>
    <w:qFormat/>
    <w:uiPriority w:val="0"/>
    <w:pPr>
      <w:widowControl w:val="0"/>
      <w:wordWrap w:val="0"/>
      <w:ind w:left="1270"/>
      <w:jc w:val="both"/>
    </w:pPr>
    <w:rPr>
      <w:rFonts w:ascii="Times New Roman" w:hAnsi="Times New Roman" w:eastAsia="宋体" w:cs="Times New Roman"/>
      <w:kern w:val="2"/>
      <w:sz w:val="21"/>
      <w:szCs w:val="24"/>
      <w:lang w:val="en-US" w:eastAsia="zh-CN" w:bidi="ar-SA"/>
    </w:rPr>
  </w:style>
  <w:style w:type="paragraph" w:styleId="6">
    <w:name w:val="Body Text"/>
    <w:basedOn w:val="1"/>
    <w:qFormat/>
    <w:uiPriority w:val="0"/>
    <w:pPr>
      <w:spacing w:after="120"/>
    </w:pPr>
    <w:rPr>
      <w:rFonts w:ascii="仿宋_GB2312" w:hAnsi="仿宋_GB231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5046</Words>
  <Characters>5423</Characters>
  <Lines>0</Lines>
  <Paragraphs>0</Paragraphs>
  <TotalTime>0</TotalTime>
  <ScaleCrop>false</ScaleCrop>
  <LinksUpToDate>false</LinksUpToDate>
  <CharactersWithSpaces>5423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2026-02-02T02:29:00Z</dcterms:created>
  <dc:creator>Hasee</dc:creator>
  <cp:lastModifiedBy>ZXT</cp:lastModifiedBy>
  <dcterms:modified xsi:type="dcterms:W3CDTF">2026-03-05T03:24:11Z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eyJoZGlkIjoiMTBiNTZhODhiY2YyNWUxYmVmNDM4NGZjOWE5NDljYTgiLCJ1c2VySWQiOiIxOTA0NDYwNiJ9</vt:lpwstr>
  </property>
  <property fmtid="{D5CDD505-2E9C-101B-9397-08002B2CF9AE}" pid="4" name="ICV">
    <vt:lpwstr>3224EB87FF4B4E42A3282280AE8AF785_13</vt:lpwstr>
  </property>
</Properties>
</file>