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lang w:eastAsia="zh-CN"/>
        </w:rPr>
      </w:pPr>
      <w:r>
        <w:rPr>
          <w:rFonts w:hint="eastAsia" w:ascii="方正小标宋简体" w:eastAsia="方正小标宋简体"/>
          <w:bCs/>
          <w:sz w:val="44"/>
          <w:szCs w:val="44"/>
          <w:lang w:eastAsia="zh-CN"/>
        </w:rPr>
        <w:t>政策问答：《济南市莱芜区新型城镇化规划（2021-2035年）》如何解决公共设施配套城乡不均衡的问题？</w:t>
      </w:r>
    </w:p>
    <w:p>
      <w:pPr>
        <w:spacing w:line="600" w:lineRule="exact"/>
        <w:ind w:firstLine="640" w:firstLineChars="200"/>
        <w:jc w:val="both"/>
        <w:rPr>
          <w:rFonts w:ascii="黑体" w:hAnsi="仿宋" w:eastAsia="黑体"/>
          <w:sz w:val="32"/>
          <w:szCs w:val="32"/>
          <w:lang w:eastAsia="zh-CN"/>
        </w:rPr>
      </w:pPr>
    </w:p>
    <w:p>
      <w:pPr>
        <w:spacing w:line="600" w:lineRule="exact"/>
        <w:ind w:firstLine="640" w:firstLineChars="200"/>
        <w:jc w:val="both"/>
        <w:rPr>
          <w:rFonts w:ascii="黑体" w:hAnsi="仿宋" w:eastAsia="黑体"/>
          <w:sz w:val="32"/>
          <w:szCs w:val="32"/>
          <w:lang w:eastAsia="zh-CN"/>
        </w:rPr>
      </w:pPr>
      <w:bookmarkStart w:id="4" w:name="_GoBack"/>
      <w:bookmarkEnd w:id="4"/>
      <w:r>
        <w:rPr>
          <w:rFonts w:ascii="黑体" w:hAnsi="仿宋" w:eastAsia="黑体"/>
          <w:sz w:val="32"/>
          <w:szCs w:val="32"/>
          <w:lang w:eastAsia="zh-CN"/>
        </w:rPr>
        <w:t>如何解决</w:t>
      </w:r>
      <w:r>
        <w:rPr>
          <w:rFonts w:hint="eastAsia" w:ascii="黑体" w:hAnsi="仿宋" w:eastAsia="黑体"/>
          <w:sz w:val="32"/>
          <w:szCs w:val="32"/>
          <w:lang w:eastAsia="zh-CN"/>
        </w:rPr>
        <w:t>公共设施配套城乡不均衡的问题</w:t>
      </w:r>
      <w:r>
        <w:rPr>
          <w:rFonts w:ascii="黑体" w:hAnsi="仿宋" w:eastAsia="黑体"/>
          <w:sz w:val="32"/>
          <w:szCs w:val="32"/>
          <w:lang w:eastAsia="zh-CN"/>
        </w:rPr>
        <w:t>？</w:t>
      </w:r>
    </w:p>
    <w:p>
      <w:pPr>
        <w:spacing w:line="600" w:lineRule="exact"/>
        <w:ind w:firstLine="640" w:firstLineChars="200"/>
        <w:jc w:val="both"/>
        <w:rPr>
          <w:rFonts w:ascii="方正小标宋简体" w:eastAsia="方正小标宋简体"/>
          <w:sz w:val="32"/>
          <w:szCs w:val="32"/>
          <w:lang w:eastAsia="zh-CN"/>
        </w:rPr>
      </w:pPr>
      <w:r>
        <w:rPr>
          <w:rFonts w:hint="eastAsia" w:ascii="黑体" w:hAnsi="仿宋" w:eastAsia="黑体"/>
          <w:sz w:val="32"/>
          <w:szCs w:val="32"/>
          <w:lang w:eastAsia="zh-CN"/>
        </w:rPr>
        <w:t>答</w:t>
      </w:r>
      <w:r>
        <w:rPr>
          <w:rFonts w:ascii="黑体" w:hAnsi="仿宋" w:eastAsia="黑体"/>
          <w:sz w:val="32"/>
          <w:szCs w:val="32"/>
          <w:lang w:eastAsia="zh-CN"/>
        </w:rPr>
        <w:t>：</w:t>
      </w:r>
      <w:r>
        <w:rPr>
          <w:rFonts w:hint="eastAsia" w:ascii="仿宋" w:hAnsi="仿宋" w:eastAsia="仿宋"/>
          <w:sz w:val="32"/>
          <w:szCs w:val="32"/>
          <w:lang w:eastAsia="zh-CN"/>
        </w:rPr>
        <w:t>一是推动市政基础设施城乡一体化。包括水电气热</w:t>
      </w:r>
      <w:r>
        <w:rPr>
          <w:rFonts w:ascii="仿宋" w:hAnsi="仿宋" w:eastAsia="仿宋"/>
          <w:sz w:val="32"/>
          <w:szCs w:val="32"/>
          <w:lang w:eastAsia="zh-CN"/>
        </w:rPr>
        <w:t>能能源供给、</w:t>
      </w:r>
      <w:r>
        <w:rPr>
          <w:rFonts w:hint="eastAsia" w:ascii="仿宋" w:hAnsi="仿宋" w:eastAsia="仿宋"/>
          <w:sz w:val="32"/>
          <w:szCs w:val="32"/>
          <w:lang w:eastAsia="zh-CN"/>
        </w:rPr>
        <w:t>实施农村生活污水治理和农村生活垃圾分类试点实施农村公路五年提质增效工程等内容。</w:t>
      </w:r>
      <w:bookmarkStart w:id="0" w:name="_Toc28367"/>
      <w:bookmarkEnd w:id="0"/>
      <w:r>
        <w:rPr>
          <w:rFonts w:hint="eastAsia" w:ascii="仿宋" w:hAnsi="仿宋" w:eastAsia="仿宋"/>
          <w:sz w:val="32"/>
          <w:szCs w:val="32"/>
          <w:lang w:eastAsia="zh-CN"/>
        </w:rPr>
        <w:t>二是优化城乡教育资源均衡配置。</w:t>
      </w:r>
      <w:bookmarkStart w:id="1" w:name="_Toc7396"/>
      <w:bookmarkEnd w:id="1"/>
      <w:r>
        <w:rPr>
          <w:rFonts w:hint="eastAsia" w:ascii="仿宋" w:hAnsi="仿宋" w:eastAsia="仿宋"/>
          <w:sz w:val="32"/>
          <w:szCs w:val="32"/>
          <w:lang w:eastAsia="zh-CN"/>
        </w:rPr>
        <w:t>包括</w:t>
      </w:r>
      <w:r>
        <w:rPr>
          <w:rFonts w:ascii="仿宋" w:hAnsi="仿宋" w:eastAsia="仿宋"/>
          <w:sz w:val="32"/>
          <w:szCs w:val="32"/>
          <w:lang w:eastAsia="zh-CN"/>
        </w:rPr>
        <w:t>体制建设、队伍管理</w:t>
      </w:r>
      <w:r>
        <w:rPr>
          <w:rFonts w:hint="eastAsia" w:ascii="仿宋" w:hAnsi="仿宋" w:eastAsia="仿宋"/>
          <w:sz w:val="32"/>
          <w:szCs w:val="32"/>
          <w:lang w:eastAsia="zh-CN"/>
        </w:rPr>
        <w:t>、</w:t>
      </w:r>
      <w:r>
        <w:rPr>
          <w:rFonts w:ascii="仿宋" w:hAnsi="仿宋" w:eastAsia="仿宋"/>
          <w:sz w:val="32"/>
          <w:szCs w:val="32"/>
          <w:lang w:eastAsia="zh-CN"/>
        </w:rPr>
        <w:t>资源分配等方面的内容。</w:t>
      </w:r>
      <w:r>
        <w:rPr>
          <w:rFonts w:hint="eastAsia" w:ascii="仿宋" w:hAnsi="仿宋" w:eastAsia="仿宋"/>
          <w:sz w:val="32"/>
          <w:szCs w:val="32"/>
          <w:lang w:eastAsia="zh-CN"/>
        </w:rPr>
        <w:t>三是完善公共卫生和医疗服务网络。包括</w:t>
      </w:r>
      <w:r>
        <w:rPr>
          <w:rFonts w:ascii="仿宋" w:hAnsi="仿宋" w:eastAsia="仿宋"/>
          <w:sz w:val="32"/>
          <w:szCs w:val="32"/>
          <w:lang w:eastAsia="zh-CN"/>
        </w:rPr>
        <w:t>医疗机构建设、</w:t>
      </w:r>
      <w:r>
        <w:rPr>
          <w:rFonts w:hint="eastAsia" w:ascii="仿宋" w:hAnsi="仿宋" w:eastAsia="仿宋"/>
          <w:sz w:val="32"/>
          <w:szCs w:val="32"/>
          <w:lang w:eastAsia="zh-CN"/>
        </w:rPr>
        <w:t>乡村医生保障、人才队伍建设、医联体建设应急处置能力建设都方面内容。</w:t>
      </w:r>
      <w:bookmarkStart w:id="2" w:name="_Toc20153"/>
      <w:bookmarkEnd w:id="2"/>
      <w:r>
        <w:rPr>
          <w:rFonts w:hint="eastAsia" w:ascii="仿宋" w:hAnsi="仿宋" w:eastAsia="仿宋"/>
          <w:sz w:val="32"/>
          <w:szCs w:val="32"/>
          <w:lang w:eastAsia="zh-CN"/>
        </w:rPr>
        <w:t>四是提高城乡社会保障均等化水平。包括基本医疗和基本养老保险体系、医保服务水平、城市医疗服务体系、新型农村社会养老保险制度等方面内容。</w:t>
      </w:r>
      <w:bookmarkStart w:id="3" w:name="_Toc9710"/>
      <w:bookmarkEnd w:id="3"/>
      <w:r>
        <w:rPr>
          <w:rFonts w:hint="eastAsia" w:ascii="仿宋" w:hAnsi="仿宋" w:eastAsia="仿宋"/>
          <w:sz w:val="32"/>
          <w:szCs w:val="32"/>
          <w:lang w:eastAsia="zh-CN"/>
        </w:rPr>
        <w:t>五是开展乡村文化体育提升工程。包括城乡15分钟文化生活圈、乡村文化阵地、农村公共文化服务体系等内容。</w:t>
      </w:r>
      <w:r>
        <w:rPr>
          <w:rFonts w:ascii="仿宋" w:hAnsi="仿宋" w:eastAsia="仿宋"/>
          <w:sz w:val="32"/>
          <w:szCs w:val="32"/>
          <w:lang w:eastAsia="zh-CN"/>
        </w:rPr>
        <w:t>在不同的章节都有</w:t>
      </w:r>
      <w:r>
        <w:rPr>
          <w:rFonts w:hint="eastAsia" w:ascii="仿宋" w:hAnsi="仿宋" w:eastAsia="仿宋"/>
          <w:sz w:val="32"/>
          <w:szCs w:val="32"/>
          <w:lang w:eastAsia="zh-CN"/>
        </w:rPr>
        <w:t>具体的规划</w:t>
      </w:r>
      <w:r>
        <w:rPr>
          <w:rFonts w:ascii="仿宋" w:hAnsi="仿宋" w:eastAsia="仿宋"/>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364755"/>
      <w:docPartObj>
        <w:docPartGallery w:val="autotext"/>
      </w:docPartObj>
    </w:sdtPr>
    <w:sdtContent>
      <w:p>
        <w:pPr>
          <w:pStyle w:val="2"/>
          <w:jc w:val="center"/>
        </w:pPr>
        <w:r>
          <w:fldChar w:fldCharType="begin"/>
        </w:r>
        <w:r>
          <w:instrText xml:space="preserve">PAGE   \* MERGEFORMAT</w:instrText>
        </w:r>
        <w:r>
          <w:fldChar w:fldCharType="separate"/>
        </w:r>
        <w:r>
          <w:rPr>
            <w:lang w:val="zh-CN" w:eastAsia="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4OTc5MDNjZGQ0M2ExNzI1OGY1MDJkNzExNjhmMWMifQ=="/>
  </w:docVars>
  <w:rsids>
    <w:rsidRoot w:val="006B4D9B"/>
    <w:rsid w:val="002B607D"/>
    <w:rsid w:val="004E5BFE"/>
    <w:rsid w:val="00500080"/>
    <w:rsid w:val="006B4D9B"/>
    <w:rsid w:val="00846C61"/>
    <w:rsid w:val="00867B72"/>
    <w:rsid w:val="008C567E"/>
    <w:rsid w:val="00901EA4"/>
    <w:rsid w:val="00A536DD"/>
    <w:rsid w:val="00D35308"/>
    <w:rsid w:val="00D97B89"/>
    <w:rsid w:val="00DF06DE"/>
    <w:rsid w:val="445B415C"/>
    <w:rsid w:val="63DA2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heme="minorBidi"/>
      <w:color w:val="000000"/>
      <w:kern w:val="0"/>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olor w:val="000000"/>
      <w:kern w:val="0"/>
      <w:sz w:val="18"/>
      <w:szCs w:val="18"/>
      <w:lang w:eastAsia="en-US"/>
    </w:rPr>
  </w:style>
  <w:style w:type="character" w:customStyle="1" w:styleId="7">
    <w:name w:val="页脚 Char"/>
    <w:basedOn w:val="5"/>
    <w:link w:val="2"/>
    <w:qFormat/>
    <w:uiPriority w:val="99"/>
    <w:rPr>
      <w:rFonts w:ascii="Times New Roman" w:hAnsi="Times New Roman" w:eastAsia="宋体"/>
      <w:color w:val="000000"/>
      <w:kern w:val="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305</Words>
  <Characters>1745</Characters>
  <Lines>14</Lines>
  <Paragraphs>4</Paragraphs>
  <TotalTime>207</TotalTime>
  <ScaleCrop>false</ScaleCrop>
  <LinksUpToDate>false</LinksUpToDate>
  <CharactersWithSpaces>2046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2023-07-12T02:30:00Z</dcterms:created>
  <dc:creator>AutoBVT</dc:creator>
  <cp:lastModifiedBy>Administrator</cp:lastModifiedBy>
  <dcterms:modified xsi:type="dcterms:W3CDTF">2023-07-25T06:49:49Z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7CF220A5DAA84F388E852613F0933BEB_12</vt:lpwstr>
  </property>
</Properties>
</file>